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EFBC9" w14:textId="77777777" w:rsidR="00EC44E8" w:rsidRDefault="00EC44E8">
      <w:pPr>
        <w:jc w:val="center"/>
        <w:rPr>
          <w:rFonts w:ascii="Liberation Sans" w:hAnsi="Liberation Sans" w:cs="Liberation Sans"/>
          <w:sz w:val="22"/>
          <w:szCs w:val="22"/>
        </w:rPr>
      </w:pPr>
    </w:p>
    <w:p w14:paraId="1AEE1C9F" w14:textId="473B7761" w:rsidR="00EC44E8" w:rsidRDefault="006D4C9D">
      <w:pPr>
        <w:jc w:val="center"/>
      </w:pPr>
      <w:r>
        <w:rPr>
          <w:rFonts w:ascii="Liberation Sans" w:eastAsia="Liberation Sans" w:hAnsi="Liberation Sans" w:cs="Liberation Sans"/>
          <w:b/>
          <w:sz w:val="22"/>
        </w:rPr>
        <w:t xml:space="preserve">ТЕХНИЧЕСКОЕ </w:t>
      </w:r>
      <w:bookmarkStart w:id="0" w:name="_GoBack"/>
      <w:bookmarkEnd w:id="0"/>
      <w:r w:rsidR="000D3CEB">
        <w:rPr>
          <w:rFonts w:ascii="Liberation Sans" w:eastAsia="Liberation Sans" w:hAnsi="Liberation Sans" w:cs="Liberation Sans"/>
          <w:b/>
          <w:sz w:val="22"/>
        </w:rPr>
        <w:t>ЗАДАНИЕ</w:t>
      </w:r>
    </w:p>
    <w:p w14:paraId="3BCCC7FE" w14:textId="77777777" w:rsidR="00EC44E8" w:rsidRDefault="000D3CEB">
      <w:pPr>
        <w:widowControl w:val="0"/>
        <w:jc w:val="center"/>
        <w:rPr>
          <w:rFonts w:ascii="Liberation Sans" w:eastAsia="Liberation Sans" w:hAnsi="Liberation Sans" w:cs="Liberation Sans"/>
          <w:b/>
          <w:sz w:val="22"/>
        </w:rPr>
      </w:pPr>
      <w:r>
        <w:rPr>
          <w:rFonts w:ascii="Liberation Sans" w:eastAsia="Liberation Sans" w:hAnsi="Liberation Sans" w:cs="Liberation Sans"/>
          <w:b/>
          <w:sz w:val="22"/>
        </w:rPr>
        <w:t xml:space="preserve">на выполнение работ по содержанию автомобильных дорог (диагностика, </w:t>
      </w:r>
    </w:p>
    <w:p w14:paraId="3A213902" w14:textId="77777777" w:rsidR="00EC44E8" w:rsidRDefault="000D3CEB">
      <w:pPr>
        <w:widowControl w:val="0"/>
        <w:jc w:val="center"/>
        <w:rPr>
          <w:rFonts w:ascii="Liberation Sans" w:eastAsia="Liberation Sans" w:hAnsi="Liberation Sans" w:cs="Liberation Sans"/>
          <w:b/>
          <w:sz w:val="22"/>
        </w:rPr>
      </w:pPr>
      <w:r>
        <w:rPr>
          <w:rFonts w:ascii="Liberation Sans" w:eastAsia="Liberation Sans" w:hAnsi="Liberation Sans" w:cs="Liberation Sans"/>
          <w:b/>
          <w:sz w:val="22"/>
        </w:rPr>
        <w:t xml:space="preserve">паспортизация, оценка технического состояния сети автомобильных дорог) </w:t>
      </w:r>
    </w:p>
    <w:p w14:paraId="2794E47C" w14:textId="77777777" w:rsidR="00EC44E8" w:rsidRDefault="000D3CEB">
      <w:pPr>
        <w:widowControl w:val="0"/>
        <w:jc w:val="center"/>
        <w:rPr>
          <w:rFonts w:ascii="Liberation Sans" w:eastAsia="Liberation Sans" w:hAnsi="Liberation Sans" w:cs="Liberation Sans"/>
          <w:b/>
          <w:sz w:val="22"/>
        </w:rPr>
      </w:pPr>
      <w:r>
        <w:rPr>
          <w:rFonts w:ascii="Liberation Sans" w:eastAsia="Liberation Sans" w:hAnsi="Liberation Sans" w:cs="Liberation Sans"/>
          <w:b/>
          <w:sz w:val="22"/>
        </w:rPr>
        <w:t xml:space="preserve">общего пользования регионального или межмуниципального значения </w:t>
      </w:r>
    </w:p>
    <w:p w14:paraId="160E2BF6" w14:textId="77777777" w:rsidR="00EC44E8" w:rsidRDefault="000D3CEB">
      <w:pPr>
        <w:widowControl w:val="0"/>
        <w:jc w:val="center"/>
      </w:pPr>
      <w:r>
        <w:rPr>
          <w:rFonts w:ascii="Liberation Sans" w:eastAsia="Liberation Sans" w:hAnsi="Liberation Sans" w:cs="Liberation Sans"/>
          <w:b/>
          <w:sz w:val="22"/>
        </w:rPr>
        <w:t>Ямало-Ненецкого автономного округа</w:t>
      </w:r>
    </w:p>
    <w:p w14:paraId="38B937B6" w14:textId="77777777" w:rsidR="00EC44E8" w:rsidRDefault="00EC44E8">
      <w:pPr>
        <w:widowControl w:val="0"/>
        <w:jc w:val="center"/>
        <w:rPr>
          <w:rFonts w:ascii="Liberation Sans" w:hAnsi="Liberation Sans" w:cs="Liberation Sans"/>
          <w:sz w:val="22"/>
        </w:rPr>
      </w:pPr>
    </w:p>
    <w:p w14:paraId="349B1590" w14:textId="77777777" w:rsidR="00EC44E8" w:rsidRDefault="00EC44E8">
      <w:pPr>
        <w:widowControl w:val="0"/>
        <w:jc w:val="center"/>
        <w:rPr>
          <w:rFonts w:ascii="Liberation Sans" w:hAnsi="Liberation Sans" w:cs="Liberation Sans"/>
          <w:sz w:val="22"/>
        </w:rPr>
      </w:pPr>
    </w:p>
    <w:p w14:paraId="3C9703FD" w14:textId="77777777" w:rsidR="00EC44E8" w:rsidRDefault="000D3CEB">
      <w:pPr>
        <w:widowControl w:val="0"/>
        <w:numPr>
          <w:ilvl w:val="0"/>
          <w:numId w:val="2"/>
        </w:numPr>
        <w:ind w:left="246" w:hanging="246"/>
      </w:pPr>
      <w:r>
        <w:rPr>
          <w:rFonts w:ascii="Liberation Sans" w:eastAsia="Liberation Sans" w:hAnsi="Liberation Sans" w:cs="Liberation Sans"/>
          <w:b/>
          <w:sz w:val="22"/>
        </w:rPr>
        <w:t>Наименование работ:</w:t>
      </w:r>
    </w:p>
    <w:p w14:paraId="0880D01D" w14:textId="77777777" w:rsidR="00EC44E8" w:rsidRDefault="000D3CEB">
      <w:pPr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Диагностика, паспортизация, оценка технического состояния автомобильных дорог общего пользования регионального или межмуниципального значения, разработка отчета по определению допустимых осевых нагрузок в весенний период и отчета по расчетной нагрузке.</w:t>
      </w:r>
    </w:p>
    <w:p w14:paraId="50BC9BC9" w14:textId="77777777" w:rsidR="00EC44E8" w:rsidRDefault="00EC44E8">
      <w:pPr>
        <w:tabs>
          <w:tab w:val="left" w:pos="4155"/>
        </w:tabs>
        <w:ind w:firstLine="567"/>
        <w:jc w:val="both"/>
        <w:rPr>
          <w:rFonts w:ascii="Liberation Sans" w:hAnsi="Liberation Sans" w:cs="Liberation Sans"/>
          <w:sz w:val="22"/>
        </w:rPr>
      </w:pPr>
    </w:p>
    <w:p w14:paraId="6EB15126" w14:textId="77777777" w:rsidR="00EC44E8" w:rsidRDefault="000D3CEB">
      <w:pPr>
        <w:spacing w:line="276" w:lineRule="auto"/>
        <w:jc w:val="both"/>
      </w:pPr>
      <w:r>
        <w:rPr>
          <w:rFonts w:ascii="Liberation Sans" w:eastAsia="Liberation Sans" w:hAnsi="Liberation Sans" w:cs="Liberation Sans"/>
          <w:b/>
          <w:sz w:val="22"/>
        </w:rPr>
        <w:t>2.  Срок и объём предоставления гарантий качества работ:</w:t>
      </w:r>
    </w:p>
    <w:p w14:paraId="2383048F" w14:textId="77777777" w:rsidR="00EC44E8" w:rsidRDefault="000D3CEB">
      <w:pPr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Объем предоставления гарантий качества работ распространяется на все виды работ. Срок предоставления гарантий качества работ по комплексной диагностике и разработке отчета по определению допустимых осевых нагрузок в весенний период и отчета по расчетной нагрузке и оценке технического состояния автомобильных дорог и их конструктивных элементов с составлением паспортов автомобильных дорог общего пользования регионального или межмуниципального значения Ямало-Ненецкого автономного округа составляет 1 год со дня подписания Акта о приемке выполненных работ. </w:t>
      </w:r>
    </w:p>
    <w:p w14:paraId="7452AF33" w14:textId="77777777" w:rsidR="00EC44E8" w:rsidRDefault="00EC44E8">
      <w:pPr>
        <w:ind w:firstLine="709"/>
        <w:jc w:val="both"/>
        <w:rPr>
          <w:rFonts w:ascii="Liberation Sans" w:hAnsi="Liberation Sans" w:cs="Liberation Sans"/>
          <w:sz w:val="22"/>
        </w:rPr>
      </w:pPr>
    </w:p>
    <w:p w14:paraId="23181BC9" w14:textId="77777777" w:rsidR="00EC44E8" w:rsidRDefault="000D3CEB">
      <w:pPr>
        <w:tabs>
          <w:tab w:val="left" w:pos="709"/>
        </w:tabs>
        <w:spacing w:line="276" w:lineRule="auto"/>
      </w:pPr>
      <w:r>
        <w:rPr>
          <w:rFonts w:ascii="Liberation Sans" w:eastAsia="Liberation Sans" w:hAnsi="Liberation Sans" w:cs="Liberation Sans"/>
          <w:b/>
          <w:sz w:val="22"/>
        </w:rPr>
        <w:t>3. Виды выполняемых работ:</w:t>
      </w:r>
      <w:r>
        <w:rPr>
          <w:rFonts w:ascii="Liberation Sans" w:eastAsia="Liberation Sans" w:hAnsi="Liberation Sans" w:cs="Liberation Sans"/>
          <w:sz w:val="22"/>
        </w:rPr>
        <w:t xml:space="preserve"> </w:t>
      </w:r>
    </w:p>
    <w:p w14:paraId="6EEEA2FE" w14:textId="77777777" w:rsidR="00EC44E8" w:rsidRDefault="000D3CEB">
      <w:pPr>
        <w:tabs>
          <w:tab w:val="left" w:pos="1134"/>
        </w:tabs>
        <w:spacing w:line="276" w:lineRule="auto"/>
        <w:ind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3.1. Плановая диагностика автомобильных дорог общего пользования регионального или межмуниципального значения ЯНАО.</w:t>
      </w:r>
    </w:p>
    <w:p w14:paraId="53EFD439" w14:textId="77777777" w:rsidR="00EC44E8" w:rsidRDefault="000D3CEB">
      <w:pPr>
        <w:tabs>
          <w:tab w:val="left" w:pos="1134"/>
        </w:tabs>
        <w:spacing w:line="276" w:lineRule="auto"/>
        <w:ind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3.2. Технический учет состояния автомобильных дорог общего пользования регионального или межмуниципального значения ЯНАО.</w:t>
      </w:r>
    </w:p>
    <w:p w14:paraId="32AD628E" w14:textId="77777777" w:rsidR="00EC44E8" w:rsidRDefault="000D3CEB">
      <w:pPr>
        <w:tabs>
          <w:tab w:val="left" w:pos="1134"/>
        </w:tabs>
        <w:spacing w:line="276" w:lineRule="auto"/>
        <w:ind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3.3. Определение допустимых осевых нагрузок в весенний период на автомобильных дорогах общего пользования регионального или межмуниципального значения ЯНАО (ежегодно), в том числе мостовые сооружения.</w:t>
      </w:r>
    </w:p>
    <w:p w14:paraId="40AA9EE1" w14:textId="77777777" w:rsidR="00EC44E8" w:rsidRDefault="000D3CEB">
      <w:pPr>
        <w:tabs>
          <w:tab w:val="left" w:pos="675"/>
        </w:tabs>
        <w:spacing w:line="276" w:lineRule="auto"/>
        <w:ind w:firstLine="680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3.4. Определение расчетной нагрузки на автомобильных дорогах общего пользования регионального или межмуниципального значения ЯНАО (ежегодно), в том числе мостовые сооружения.</w:t>
      </w:r>
    </w:p>
    <w:p w14:paraId="6C9DE78A" w14:textId="77777777" w:rsidR="00EC44E8" w:rsidRDefault="000D3CEB">
      <w:pPr>
        <w:tabs>
          <w:tab w:val="left" w:pos="1134"/>
        </w:tabs>
        <w:spacing w:line="276" w:lineRule="auto"/>
        <w:ind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3.5. Паспортизация автомобильных дорог общего пользования регионального или межмуниципального значения ЯНАО.</w:t>
      </w:r>
    </w:p>
    <w:p w14:paraId="00C8961E" w14:textId="77777777" w:rsidR="00EC44E8" w:rsidRDefault="000D3CEB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3.6. Мобильное лазерное сканирование автомобильных дорог общего пользования регионального или межмуниципального значения ЯНАО.</w:t>
      </w:r>
    </w:p>
    <w:p w14:paraId="2A33AF7A" w14:textId="77777777" w:rsidR="00EC44E8" w:rsidRDefault="00EC44E8">
      <w:pPr>
        <w:spacing w:line="276" w:lineRule="auto"/>
        <w:contextualSpacing/>
        <w:jc w:val="both"/>
        <w:rPr>
          <w:rFonts w:ascii="Liberation Sans" w:hAnsi="Liberation Sans" w:cs="Liberation Sans"/>
        </w:rPr>
      </w:pPr>
    </w:p>
    <w:p w14:paraId="1BDFA61A" w14:textId="77777777" w:rsidR="00EC44E8" w:rsidRDefault="000D3CEB">
      <w:pPr>
        <w:spacing w:line="276" w:lineRule="auto"/>
        <w:contextualSpacing/>
        <w:jc w:val="both"/>
      </w:pPr>
      <w:r>
        <w:rPr>
          <w:rFonts w:ascii="Liberation Sans" w:eastAsia="Liberation Sans" w:hAnsi="Liberation Sans" w:cs="Liberation Sans"/>
          <w:b/>
          <w:sz w:val="22"/>
        </w:rPr>
        <w:t>4. Адрес выполнения работ:</w:t>
      </w:r>
      <w:r>
        <w:rPr>
          <w:rFonts w:ascii="Liberation Sans" w:eastAsia="Liberation Sans" w:hAnsi="Liberation Sans" w:cs="Liberation Sans"/>
          <w:sz w:val="22"/>
        </w:rPr>
        <w:t xml:space="preserve"> автомобильные дороги общего пользования регионального или межмуниципального значения ЯНАО.</w:t>
      </w:r>
    </w:p>
    <w:p w14:paraId="6DF3FD0F" w14:textId="77777777" w:rsidR="00EC44E8" w:rsidRDefault="00EC44E8">
      <w:pPr>
        <w:tabs>
          <w:tab w:val="left" w:pos="1134"/>
        </w:tabs>
        <w:spacing w:line="276" w:lineRule="auto"/>
        <w:ind w:left="1440"/>
        <w:contextualSpacing/>
        <w:jc w:val="both"/>
        <w:rPr>
          <w:rFonts w:ascii="Liberation Sans" w:hAnsi="Liberation Sans" w:cs="Liberation Sans"/>
          <w:sz w:val="22"/>
          <w:szCs w:val="22"/>
        </w:rPr>
      </w:pPr>
    </w:p>
    <w:tbl>
      <w:tblPr>
        <w:tblW w:w="9345" w:type="dxa"/>
        <w:tblInd w:w="311" w:type="dxa"/>
        <w:tblLook w:val="04A0" w:firstRow="1" w:lastRow="0" w:firstColumn="1" w:lastColumn="0" w:noHBand="0" w:noVBand="1"/>
      </w:tblPr>
      <w:tblGrid>
        <w:gridCol w:w="827"/>
        <w:gridCol w:w="5430"/>
        <w:gridCol w:w="1863"/>
        <w:gridCol w:w="1225"/>
      </w:tblGrid>
      <w:tr w:rsidR="00EC44E8" w14:paraId="79D67084" w14:textId="77777777">
        <w:trPr>
          <w:trHeight w:val="32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02731" w14:textId="77777777" w:rsidR="00EC44E8" w:rsidRDefault="000D3CEB">
            <w:pPr>
              <w:ind w:left="311"/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 xml:space="preserve">№ </w:t>
            </w:r>
            <w:r>
              <w:rPr>
                <w:rFonts w:ascii="Liberation Sans" w:eastAsia="Liberation Sans" w:hAnsi="Liberation Sans" w:cs="Liberation Sans"/>
                <w:sz w:val="22"/>
              </w:rPr>
              <w:t>п/п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C52E6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Наименование дорог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5220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Протяженность, км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897DA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Категория</w:t>
            </w:r>
          </w:p>
        </w:tc>
      </w:tr>
      <w:tr w:rsidR="00EC44E8" w14:paraId="64F19928" w14:textId="77777777">
        <w:trPr>
          <w:trHeight w:val="36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76E7E" w14:textId="77777777" w:rsidR="00EC44E8" w:rsidRDefault="00EC44E8">
            <w:pPr>
              <w:jc w:val="center"/>
              <w:rPr>
                <w:rFonts w:ascii="Liberation Sans" w:eastAsia="Liberation Sans" w:hAnsi="Liberation Sans" w:cs="Liberation Sans"/>
                <w:sz w:val="22"/>
              </w:rPr>
            </w:pP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69909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b/>
                <w:sz w:val="22"/>
              </w:rPr>
              <w:t>Плановая диагностика, текущий технический учет, паспортизация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D021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b/>
                <w:sz w:val="22"/>
                <w:lang w:val="en-US"/>
              </w:rPr>
              <w:t>1373,953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23E01" w14:textId="77777777" w:rsidR="00EC44E8" w:rsidRDefault="00EC44E8">
            <w:pPr>
              <w:jc w:val="center"/>
              <w:rPr>
                <w:rFonts w:ascii="Liberation Sans" w:eastAsia="Liberation Sans" w:hAnsi="Liberation Sans" w:cs="Liberation Sans"/>
                <w:b/>
                <w:sz w:val="22"/>
              </w:rPr>
            </w:pPr>
          </w:p>
        </w:tc>
      </w:tr>
      <w:tr w:rsidR="00EC44E8" w14:paraId="27EB827A" w14:textId="77777777">
        <w:trPr>
          <w:trHeight w:val="5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89D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1.</w:t>
            </w:r>
          </w:p>
        </w:tc>
        <w:tc>
          <w:tcPr>
            <w:tcW w:w="5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F60B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Граница Ямало-Ненецкого автономного округа – Губкинский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BDEA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215,205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6A383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1EB5A8B9" w14:textId="77777777">
        <w:trPr>
          <w:trHeight w:val="5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4A6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82137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Объезд г. Губкинский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F25FB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6,958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0D05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099F6007" w14:textId="77777777">
        <w:trPr>
          <w:trHeight w:val="5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67223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lastRenderedPageBreak/>
              <w:t>3.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573A6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Губкинский – Пурпе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24CFE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15,532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0941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2191E555" w14:textId="77777777">
        <w:trPr>
          <w:trHeight w:val="44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39C46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4.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EF7F4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Пурпе – Пуровск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B3344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67,489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A998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2F0056B8" w14:textId="77777777">
        <w:trPr>
          <w:trHeight w:val="82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7B46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5.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10E2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Объезд ст. Пуровск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47C8D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6,071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0DE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2CB406F1" w14:textId="77777777">
        <w:trPr>
          <w:trHeight w:val="45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B8C7D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615D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Пуровск - Коротчаево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91156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116,679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B074E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1550F372" w14:textId="77777777">
        <w:trPr>
          <w:trHeight w:val="42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B099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7.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BCEFB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Коротчаево – Новый Уренгой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046F5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76,130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EDB54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II, III</w:t>
            </w:r>
          </w:p>
        </w:tc>
      </w:tr>
      <w:tr w:rsidR="00EC44E8" w14:paraId="4835A220" w14:textId="77777777">
        <w:trPr>
          <w:trHeight w:val="40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80C4B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8.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C75B6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Новый Уренгой – ж.-д. ст. Ныда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C8023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51,377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A153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II, III</w:t>
            </w:r>
          </w:p>
        </w:tc>
      </w:tr>
      <w:tr w:rsidR="00EC44E8" w14:paraId="4F63202F" w14:textId="77777777">
        <w:trPr>
          <w:trHeight w:val="19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98F93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9.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5CE19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ж.-д. ст. Ныда – Пангоды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06ACD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66,598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E0C85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III, IV</w:t>
            </w:r>
          </w:p>
        </w:tc>
      </w:tr>
      <w:tr w:rsidR="00EC44E8" w14:paraId="68B5F3FE" w14:textId="77777777">
        <w:trPr>
          <w:trHeight w:val="18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68B0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10.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18C13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Пангоды – Правохеттинский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95A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68,094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454CC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79BDA9EA" w14:textId="77777777">
        <w:trPr>
          <w:trHeight w:val="9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E47F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11.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AFC3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Правохеттинский – Надым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2AE4B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51,008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5670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65B5DEED" w14:textId="77777777">
        <w:trPr>
          <w:trHeight w:val="1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6F50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12.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75343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Сургут - Салехард, участок Надым – Салехард, в том числе зимник (строящаяся)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20D47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344,769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431C3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794AF3C4" w14:textId="77777777">
        <w:trPr>
          <w:trHeight w:val="11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292E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13.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67F95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Подъезд к г. Ноябрьск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67F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37,670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68437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5A5289A7" w14:textId="77777777">
        <w:trPr>
          <w:trHeight w:val="26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69279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14.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17EE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Ноябрьск – Вынгапуровский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8D57C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89,420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CF97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III, IV</w:t>
            </w:r>
          </w:p>
        </w:tc>
      </w:tr>
      <w:tr w:rsidR="00EC44E8" w14:paraId="6C4DC4CB" w14:textId="77777777">
        <w:trPr>
          <w:trHeight w:val="1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7B58B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15.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C6239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</w:rPr>
              <w:t>Автомобильная дорога Подъезд к п. Ханымей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FE8D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62,690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21287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10976355" w14:textId="77777777">
        <w:trPr>
          <w:trHeight w:val="3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39FF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16.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BFF07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г. Тарко – Сале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3699C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8,450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7D1B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0045CEDE" w14:textId="77777777">
        <w:trPr>
          <w:trHeight w:val="12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6449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17.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60508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речному порту ст. Коротчаево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BECC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1,951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8010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03849D20" w14:textId="77777777">
        <w:trPr>
          <w:trHeight w:val="120"/>
        </w:trPr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DC117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18.</w:t>
            </w:r>
          </w:p>
        </w:tc>
        <w:tc>
          <w:tcPr>
            <w:tcW w:w="56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49CD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п. </w:t>
            </w:r>
            <w:proofErr w:type="spellStart"/>
            <w:r>
              <w:rPr>
                <w:rFonts w:ascii="Liberation Sans" w:eastAsia="Liberation Sans" w:hAnsi="Liberation Sans" w:cs="Liberation Sans"/>
                <w:sz w:val="22"/>
              </w:rPr>
              <w:t>Лимбяяха</w:t>
            </w:r>
            <w:proofErr w:type="spellEnd"/>
          </w:p>
        </w:tc>
        <w:tc>
          <w:tcPr>
            <w:tcW w:w="18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D1964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5,340</w:t>
            </w:r>
          </w:p>
        </w:tc>
        <w:tc>
          <w:tcPr>
            <w:tcW w:w="1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3EE2B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lang w:val="en-US"/>
              </w:rPr>
              <w:t>III</w:t>
            </w:r>
          </w:p>
        </w:tc>
      </w:tr>
      <w:tr w:rsidR="00EC44E8" w14:paraId="67CCF59F" w14:textId="77777777">
        <w:trPr>
          <w:trHeight w:val="12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C7C44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19.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F38D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с. Аксарка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74090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16,505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4B41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III, IV</w:t>
            </w:r>
          </w:p>
        </w:tc>
      </w:tr>
      <w:tr w:rsidR="00EC44E8" w14:paraId="45820642" w14:textId="77777777">
        <w:trPr>
          <w:trHeight w:val="12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7C1DC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20.</w:t>
            </w:r>
          </w:p>
        </w:tc>
        <w:tc>
          <w:tcPr>
            <w:tcW w:w="56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4DA62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Салехард – Аэропорт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AA3B1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5,663</w:t>
            </w:r>
          </w:p>
        </w:tc>
        <w:tc>
          <w:tcPr>
            <w:tcW w:w="125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78B7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</w:t>
            </w:r>
          </w:p>
        </w:tc>
      </w:tr>
      <w:tr w:rsidR="00EC44E8" w14:paraId="40804C0D" w14:textId="77777777">
        <w:trPr>
          <w:trHeight w:val="12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6DC8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21.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71CFB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Объезд г. Салехард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F9F47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2,028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E355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6187A0BE" w14:textId="77777777">
        <w:trPr>
          <w:trHeight w:val="150"/>
        </w:trPr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27095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22.</w:t>
            </w:r>
          </w:p>
        </w:tc>
        <w:tc>
          <w:tcPr>
            <w:tcW w:w="56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5C026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Лабытнанги – Харп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9383D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34,060</w:t>
            </w:r>
          </w:p>
        </w:tc>
        <w:tc>
          <w:tcPr>
            <w:tcW w:w="1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4C1B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5AE10898" w14:textId="77777777">
        <w:trPr>
          <w:trHeight w:val="10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E7975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23.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64E94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Салехард - Лабытнанги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14BC5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10,720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B3C3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II, III</w:t>
            </w:r>
          </w:p>
        </w:tc>
      </w:tr>
      <w:tr w:rsidR="00EC44E8" w14:paraId="75CCEC6B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3975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24.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2DD6C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аэропорту г. Салехард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53DC4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0,676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F779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</w:t>
            </w:r>
          </w:p>
        </w:tc>
      </w:tr>
      <w:tr w:rsidR="00EC44E8" w14:paraId="09380803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6C705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25.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DF84A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Коротчаево - Красноселькуп с мостовым переходом через р. Пур, в том числе зимник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AF0D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12,450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57C22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478360FB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7FE88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26.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C7E05" w14:textId="77777777" w:rsidR="00EC44E8" w:rsidRDefault="000D3CEB">
            <w:pPr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территории объекта культурного наследия "Лагпункт 501-й стройки N 76 у разъезда "Глухариный"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B851F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0,420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EC11E" w14:textId="77777777" w:rsidR="00EC44E8" w:rsidRDefault="000D3CEB">
            <w:pPr>
              <w:jc w:val="center"/>
              <w:rPr>
                <w:rFonts w:ascii="Liberation Sans" w:eastAsia="Liberation Sans" w:hAnsi="Liberation Sans" w:cs="Liberation Sans"/>
              </w:rPr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 xml:space="preserve"> </w:t>
            </w:r>
            <w:r>
              <w:rPr>
                <w:rFonts w:ascii="Liberation Sans" w:eastAsia="Liberation Sans" w:hAnsi="Liberation Sans" w:cs="Liberation Sans"/>
                <w:sz w:val="22"/>
              </w:rPr>
              <w:t>IV Б-п</w:t>
            </w:r>
          </w:p>
        </w:tc>
      </w:tr>
      <w:tr w:rsidR="00EC44E8" w14:paraId="49565BE5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6928" w14:textId="77777777" w:rsidR="00EC44E8" w:rsidRDefault="00EC44E8">
            <w:pPr>
              <w:jc w:val="center"/>
              <w:rPr>
                <w:rFonts w:ascii="Liberation Sans" w:eastAsia="Liberation Sans" w:hAnsi="Liberation Sans" w:cs="Liberation Sans"/>
                <w:b/>
                <w:sz w:val="22"/>
              </w:rPr>
            </w:pP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AF38E" w14:textId="77777777" w:rsidR="00EC44E8" w:rsidRDefault="000D3CEB">
            <w:r>
              <w:rPr>
                <w:rFonts w:ascii="Liberation Sans" w:eastAsia="Liberation Sans" w:hAnsi="Liberation Sans" w:cs="Liberation Sans"/>
                <w:b/>
                <w:sz w:val="22"/>
              </w:rPr>
              <w:t>Мобильное лазерное сканирование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E6820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22"/>
                <w:lang w:val="en-US"/>
              </w:rPr>
              <w:t>69,652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6FCA" w14:textId="77777777" w:rsidR="00EC44E8" w:rsidRDefault="00EC44E8">
            <w:pPr>
              <w:jc w:val="center"/>
              <w:rPr>
                <w:rFonts w:ascii="Liberation Sans" w:eastAsia="Liberation Sans" w:hAnsi="Liberation Sans" w:cs="Liberation Sans"/>
                <w:b/>
                <w:sz w:val="22"/>
              </w:rPr>
            </w:pPr>
          </w:p>
        </w:tc>
      </w:tr>
      <w:tr w:rsidR="00EC44E8" w14:paraId="12F9ADA8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02CEC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0D36" w14:textId="77777777" w:rsidR="00EC44E8" w:rsidRDefault="000D3CEB"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hAnsi="Liberation Sans"/>
                <w:sz w:val="22"/>
              </w:rPr>
              <w:t>,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с. Аксарка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A24A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16,505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1CA46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III, IV</w:t>
            </w:r>
          </w:p>
        </w:tc>
      </w:tr>
      <w:tr w:rsidR="00EC44E8" w14:paraId="6E96A362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7D1C9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2.</w:t>
            </w:r>
          </w:p>
        </w:tc>
        <w:tc>
          <w:tcPr>
            <w:tcW w:w="56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7D7FF" w14:textId="77777777" w:rsidR="00EC44E8" w:rsidRDefault="000D3CEB"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hAnsi="Liberation Sans"/>
                <w:sz w:val="22"/>
              </w:rPr>
              <w:t>,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Салехард – Аэропорт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3285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5,663</w:t>
            </w:r>
          </w:p>
        </w:tc>
        <w:tc>
          <w:tcPr>
            <w:tcW w:w="125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CECD6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</w:t>
            </w:r>
          </w:p>
        </w:tc>
      </w:tr>
      <w:tr w:rsidR="00EC44E8" w14:paraId="4E668397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D80C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3.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AF823" w14:textId="77777777" w:rsidR="00EC44E8" w:rsidRDefault="000D3CEB"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hAnsi="Liberation Sans"/>
                <w:sz w:val="22"/>
              </w:rPr>
              <w:t>,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Объезд г. Салехард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E1DE6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2,028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C976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5A76C933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1BE2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4.</w:t>
            </w:r>
          </w:p>
        </w:tc>
        <w:tc>
          <w:tcPr>
            <w:tcW w:w="56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199C0" w14:textId="77777777" w:rsidR="00EC44E8" w:rsidRDefault="000D3CEB"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hAnsi="Liberation Sans"/>
                <w:sz w:val="22"/>
              </w:rPr>
              <w:t>,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Лабытнанги – Харп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41CC4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34,060</w:t>
            </w:r>
          </w:p>
        </w:tc>
        <w:tc>
          <w:tcPr>
            <w:tcW w:w="12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03FA6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III</w:t>
            </w:r>
          </w:p>
        </w:tc>
      </w:tr>
      <w:tr w:rsidR="00EC44E8" w14:paraId="3E3B209D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19A26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5.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35782" w14:textId="77777777" w:rsidR="00EC44E8" w:rsidRDefault="000D3CEB"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hAnsi="Liberation Sans"/>
                <w:sz w:val="22"/>
              </w:rPr>
              <w:t>,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Салехард - Лабытнанги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0D672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10,720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F7A14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II, III</w:t>
            </w:r>
          </w:p>
        </w:tc>
      </w:tr>
      <w:tr w:rsidR="00EC44E8" w14:paraId="6B7E83FD" w14:textId="77777777">
        <w:trPr>
          <w:trHeight w:val="13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F0E95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6.</w:t>
            </w:r>
          </w:p>
        </w:tc>
        <w:tc>
          <w:tcPr>
            <w:tcW w:w="56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F6B61" w14:textId="77777777" w:rsidR="00EC44E8" w:rsidRDefault="000D3CEB">
            <w:r>
              <w:rPr>
                <w:rFonts w:ascii="Liberation Sans" w:hAnsi="Liberation Sans"/>
                <w:highlight w:val="white"/>
              </w:rPr>
              <w:t>Автомобильная дорога</w:t>
            </w:r>
            <w:r>
              <w:rPr>
                <w:rFonts w:ascii="Liberation Sans" w:hAnsi="Liberation Sans"/>
                <w:sz w:val="22"/>
              </w:rPr>
              <w:t>,</w:t>
            </w:r>
            <w:r>
              <w:rPr>
                <w:rFonts w:ascii="Liberation Sans" w:eastAsia="Liberation Sans" w:hAnsi="Liberation Sans" w:cs="Liberation Sans"/>
                <w:sz w:val="22"/>
              </w:rPr>
              <w:t xml:space="preserve"> Подъезд к аэропорту г. Салехард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74ED1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0,676</w:t>
            </w:r>
          </w:p>
        </w:tc>
        <w:tc>
          <w:tcPr>
            <w:tcW w:w="12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774F4" w14:textId="77777777" w:rsidR="00EC44E8" w:rsidRDefault="000D3CEB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22"/>
                <w:lang w:val="en-US"/>
              </w:rPr>
              <w:t>II</w:t>
            </w:r>
          </w:p>
        </w:tc>
      </w:tr>
    </w:tbl>
    <w:p w14:paraId="6F9A6875" w14:textId="77777777" w:rsidR="00EC44E8" w:rsidRDefault="00EC44E8">
      <w:pPr>
        <w:widowControl w:val="0"/>
        <w:ind w:firstLine="709"/>
        <w:jc w:val="both"/>
        <w:rPr>
          <w:rFonts w:ascii="Liberation Sans" w:hAnsi="Liberation Sans" w:cs="Liberation Sans"/>
          <w:b/>
          <w:sz w:val="22"/>
        </w:rPr>
      </w:pPr>
    </w:p>
    <w:p w14:paraId="11A651E9" w14:textId="77777777" w:rsidR="00EC44E8" w:rsidRDefault="000D3CEB">
      <w:pPr>
        <w:widowControl w:val="0"/>
        <w:ind w:firstLine="709"/>
        <w:jc w:val="both"/>
      </w:pPr>
      <w:r>
        <w:rPr>
          <w:rFonts w:ascii="Liberation Sans" w:eastAsia="Liberation Sans" w:hAnsi="Liberation Sans" w:cs="Liberation Sans"/>
          <w:b/>
          <w:sz w:val="22"/>
        </w:rPr>
        <w:t>Примечание:</w:t>
      </w:r>
      <w:r>
        <w:rPr>
          <w:rFonts w:ascii="Liberation Sans" w:eastAsia="Liberation Sans" w:hAnsi="Liberation Sans" w:cs="Liberation Sans"/>
          <w:sz w:val="22"/>
        </w:rPr>
        <w:t xml:space="preserve"> Виды диагностики, технического учёта и паспортизации приведены в соответствии с ГОСТ 33388-2015 «Дороги автомобильные общего пользования. Требования к проведению диагностики и паспортизации». Работы по мобильному лазерному сканированию выполняются в соответствии с ГОСТ Р 70690-2023.</w:t>
      </w:r>
    </w:p>
    <w:p w14:paraId="34A0FF6F" w14:textId="77777777" w:rsidR="00EC44E8" w:rsidRDefault="00EC44E8">
      <w:pPr>
        <w:widowControl w:val="0"/>
        <w:ind w:firstLine="709"/>
        <w:jc w:val="both"/>
        <w:rPr>
          <w:rFonts w:ascii="Liberation Sans" w:hAnsi="Liberation Sans" w:cs="Liberation Sans"/>
          <w:sz w:val="22"/>
        </w:rPr>
      </w:pPr>
    </w:p>
    <w:p w14:paraId="1F740A1C" w14:textId="77777777" w:rsidR="00EC44E8" w:rsidRDefault="000D3CEB">
      <w:pPr>
        <w:widowControl w:val="0"/>
        <w:tabs>
          <w:tab w:val="left" w:pos="630"/>
        </w:tabs>
        <w:spacing w:line="276" w:lineRule="auto"/>
        <w:ind w:left="-57"/>
      </w:pPr>
      <w:r>
        <w:rPr>
          <w:rFonts w:ascii="Liberation Sans" w:eastAsia="Liberation Sans" w:hAnsi="Liberation Sans" w:cs="Liberation Sans"/>
          <w:b/>
          <w:sz w:val="22"/>
        </w:rPr>
        <w:t>5. Перечень нормативных документов:</w:t>
      </w:r>
    </w:p>
    <w:p w14:paraId="41B4A445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 xml:space="preserve"> 5.1. ГОСТ 33388-2015 Дороги автомобильные общего пользования. Требования к проведению диагностики и паспортизации.</w:t>
      </w:r>
    </w:p>
    <w:p w14:paraId="4A0ECB93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5.2. ГОСТ Р 52289-2019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</w:r>
    </w:p>
    <w:p w14:paraId="34A49E72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5.3. ГОСТ Р 52290-2024 Технические средства организации дорожного движения. Знаки дорожные. Общие технические требования.</w:t>
      </w:r>
    </w:p>
    <w:p w14:paraId="2A5F3F4D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5.4. ГОСТ Р 51256-2018 Технические средства организации дорожного движения. Разметка дорожная. Классификация. Технические требования.</w:t>
      </w:r>
    </w:p>
    <w:p w14:paraId="230C362E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5.5. ГОСТ Р 52282-2004 Технические средства организации дорожного движения. Светофоры дорожные. Типы и основные параметры. Общие технические требования. Методы испытаний.</w:t>
      </w:r>
    </w:p>
    <w:p w14:paraId="268747F2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5.6. ГОСТ Р 52605-2006 Технические средства организации дорожного движения. Искусственные неровности. Общие технические требования. Правила применения.</w:t>
      </w:r>
    </w:p>
    <w:p w14:paraId="2EDFE276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5.7. ГОСТ Р 52607-2006 Технические средства организации дорожного движения. Ограждения дорожные удерживающие боковые для автомобилей. Общие технические требования.</w:t>
      </w:r>
    </w:p>
    <w:p w14:paraId="5DFF90A6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5.8. ГОСТ Р 50970-2011 Технические средства организации дорожного движения. Столбики сигнальные дорожные. Общие технические требования. Правила применения.</w:t>
      </w:r>
    </w:p>
    <w:p w14:paraId="305D0A98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5.9. Технический регламент Таможенного союза «Безопасность автомобильных дорог» от 18.10.2011 № 014/2011.</w:t>
      </w:r>
    </w:p>
    <w:p w14:paraId="7C6C3E55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5.10. Постановление Правительства РФ от 16.11.2018 № 1379 «Об утверждении Правил определения основных параметров дорожного движения и ведения их учёта».</w:t>
      </w:r>
    </w:p>
    <w:p w14:paraId="5FA05044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5.11. ГОСТ 33220-2015. Дороги автомобильные общего пользования. Требования к эксплуатационному состоянию.</w:t>
      </w:r>
    </w:p>
    <w:p w14:paraId="2434379E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5.12. ГОСТ Р 50597-2017.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контроля.</w:t>
      </w:r>
    </w:p>
    <w:p w14:paraId="024665FE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5.13. Приказ Минтранса России от 07.08.2020 №288 «О порядке проведения оценки технического состояния автомобильных дорог».</w:t>
      </w:r>
    </w:p>
    <w:p w14:paraId="61C38096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5.14. ГОСТ Р 52399-2022. Геометрические элементы автомобильных дорог.</w:t>
      </w:r>
    </w:p>
    <w:p w14:paraId="2428E6FE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5.15. ГОСТ Р 52577-2006. Дороги автомобильные общего пользования. Методы определения параметров геометрических элементов автомобильных дорог.</w:t>
      </w:r>
    </w:p>
    <w:p w14:paraId="5032695A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 xml:space="preserve">5.16. ГОСТ 32960-2014. Дороги автомобильные общего пользования. Нормативные нагрузки, расчетные схемы </w:t>
      </w:r>
      <w:proofErr w:type="spellStart"/>
      <w:r>
        <w:rPr>
          <w:rFonts w:ascii="Liberation Sans" w:eastAsia="Liberation Sans" w:hAnsi="Liberation Sans" w:cs="Liberation Sans"/>
          <w:sz w:val="22"/>
        </w:rPr>
        <w:t>нагружения</w:t>
      </w:r>
      <w:proofErr w:type="spellEnd"/>
      <w:r>
        <w:rPr>
          <w:rFonts w:ascii="Liberation Sans" w:eastAsia="Liberation Sans" w:hAnsi="Liberation Sans" w:cs="Liberation Sans"/>
          <w:sz w:val="22"/>
        </w:rPr>
        <w:t>.</w:t>
      </w:r>
    </w:p>
    <w:p w14:paraId="39007BAF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5.17. ГОСТ 32755-2014. Дороги автомобильные общего пользования. Требования к проведению приемки в эксплуатацию выполненных работ.</w:t>
      </w:r>
    </w:p>
    <w:p w14:paraId="6295C82E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5.18. ГОСТ 32846-2014. Дороги автомобильные общего пользования. Элементы обустройства. Классификация.</w:t>
      </w:r>
    </w:p>
    <w:p w14:paraId="272D8439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5.19. ГОСТ 33062-2014. Дороги автомобильные общего пользования. Требования к размещению объектов дорожного и придорожного сервиса.</w:t>
      </w:r>
    </w:p>
    <w:p w14:paraId="18364DAF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5.20. ГОСТ 33161-2014 Дороги автомобильные общего пользования. Требования к проведению диагностики и паспортизации искусственных сооружений на автомобильных дорогах.</w:t>
      </w:r>
    </w:p>
    <w:p w14:paraId="764EF748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5.21. ГОСТ Р 56925-2016 Дороги автомобильные и аэродромы. Методы измерения неровностей оснований и покрытий.</w:t>
      </w:r>
    </w:p>
    <w:p w14:paraId="4E7174A6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5.22. ГОСТ Р 59120-2021. Дороги автомобильные общего пользования. Дорожная одежда. Общие требования.</w:t>
      </w:r>
    </w:p>
    <w:p w14:paraId="7194E8EE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lastRenderedPageBreak/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5.23. ГОСТ 32825-2014. Дороги автомобильные общего пользования. Дорожные покрытия. Методы измерений геометрических размеров повреждений.</w:t>
      </w:r>
    </w:p>
    <w:p w14:paraId="78B8F07D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5.24. ГОСТ 32965-2014. Дороги автомобильные общего пользования. Методы учета интенсивности движения транспортного потока.</w:t>
      </w:r>
    </w:p>
    <w:p w14:paraId="69EED954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5.25. ГОСТ Р 59918-2021. Дороги автомобильные общего пользования. Нежесткие дорожные одежды. Методы оценки прочности.</w:t>
      </w:r>
    </w:p>
    <w:p w14:paraId="0B145757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5.26. ГОСТ 33146-2014. Дороги автомобильные общего пользования. Трубы дорожные водопропускные. Методы контроля.</w:t>
      </w:r>
    </w:p>
    <w:p w14:paraId="266766B2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5.27. ГОСТ Р 71360-2024. Дороги автомобильные общего пользования. Технический учет и паспортизация. Общие технические требования.</w:t>
      </w:r>
    </w:p>
    <w:p w14:paraId="67DB7615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 xml:space="preserve">5.28. СП 35.13330.2011. Мосты и трубы. </w:t>
      </w:r>
    </w:p>
    <w:p w14:paraId="694DDF0A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5.29. СП 34.13330.2021. Автомобильные дороги.</w:t>
      </w:r>
    </w:p>
    <w:p w14:paraId="6B72738C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 xml:space="preserve">5.30. СП 78.13330.2012. Автомобильные дороги. </w:t>
      </w:r>
    </w:p>
    <w:p w14:paraId="20C7B7CC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5.31. СП 79.13330.2012. Мосты и трубы. Правила обследований и испытаний.</w:t>
      </w:r>
    </w:p>
    <w:p w14:paraId="28E2E35B" w14:textId="77777777" w:rsidR="00EC44E8" w:rsidRDefault="000D3CEB">
      <w:pPr>
        <w:widowControl w:val="0"/>
        <w:spacing w:line="276" w:lineRule="auto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tab/>
        <w:t>5.32. ОДМ 218.4.039-2018. Отраслевой дорожный методический документ. Рекомендации по диагностике и оценке технического состояния автомобильных дорог.</w:t>
      </w:r>
    </w:p>
    <w:p w14:paraId="2338D029" w14:textId="77777777" w:rsidR="00EC44E8" w:rsidRDefault="000D3CEB">
      <w:pPr>
        <w:spacing w:line="65" w:lineRule="atLeast"/>
        <w:ind w:right="-11"/>
        <w:jc w:val="both"/>
      </w:pPr>
      <w:r>
        <w:rPr>
          <w:rStyle w:val="af9"/>
          <w:rFonts w:ascii="Liberation Sans" w:eastAsia="Liberation Sans" w:hAnsi="Liberation Sans" w:cs="Liberation Sans"/>
          <w:color w:val="000000"/>
          <w:sz w:val="22"/>
          <w:szCs w:val="22"/>
          <w:u w:val="none"/>
        </w:rPr>
        <w:t xml:space="preserve"> </w:t>
      </w:r>
      <w:r>
        <w:rPr>
          <w:rStyle w:val="af9"/>
          <w:rFonts w:ascii="Liberation Sans" w:eastAsia="Liberation Sans" w:hAnsi="Liberation Sans" w:cs="Liberation Sans"/>
          <w:color w:val="000000"/>
          <w:sz w:val="22"/>
          <w:szCs w:val="22"/>
          <w:u w:val="none"/>
        </w:rPr>
        <w:tab/>
        <w:t xml:space="preserve">5.33. </w:t>
      </w:r>
      <w:hyperlink r:id="rId5" w:history="1">
        <w:r>
          <w:rPr>
            <w:rStyle w:val="af9"/>
            <w:rFonts w:ascii="Liberation Sans" w:eastAsia="Liberation Sans" w:hAnsi="Liberation Sans" w:cs="Liberation Sans"/>
            <w:color w:val="000000"/>
            <w:sz w:val="22"/>
            <w:szCs w:val="22"/>
            <w:u w:val="none"/>
          </w:rPr>
          <w:t xml:space="preserve">Приказ Минтранса России от 16.11.2012 № 402 </w:t>
        </w:r>
      </w:hyperlink>
      <w:r>
        <w:rPr>
          <w:rFonts w:ascii="Liberation Sans" w:eastAsia="Liberation Sans" w:hAnsi="Liberation Sans" w:cs="Liberation Sans"/>
          <w:sz w:val="22"/>
          <w:szCs w:val="22"/>
        </w:rPr>
        <w:t>«Об утверждении Классификации работ по капитальному ремонту, ремонту и содержанию автомобильных дорог».</w:t>
      </w:r>
    </w:p>
    <w:p w14:paraId="55966DEA" w14:textId="77777777" w:rsidR="00EC44E8" w:rsidRDefault="000D3CEB">
      <w:pPr>
        <w:spacing w:line="65" w:lineRule="atLeast"/>
        <w:ind w:right="-11"/>
      </w:pPr>
      <w:r>
        <w:rPr>
          <w:rStyle w:val="af9"/>
          <w:rFonts w:ascii="Liberation Sans" w:eastAsia="Liberation Sans" w:hAnsi="Liberation Sans" w:cs="Liberation Sans"/>
          <w:color w:val="000000"/>
          <w:sz w:val="22"/>
          <w:szCs w:val="22"/>
          <w:u w:val="none"/>
        </w:rPr>
        <w:t xml:space="preserve"> </w:t>
      </w:r>
      <w:r>
        <w:rPr>
          <w:rStyle w:val="af9"/>
          <w:rFonts w:ascii="Liberation Sans" w:eastAsia="Liberation Sans" w:hAnsi="Liberation Sans" w:cs="Liberation Sans"/>
          <w:color w:val="000000"/>
          <w:sz w:val="22"/>
          <w:szCs w:val="22"/>
          <w:u w:val="none"/>
        </w:rPr>
        <w:tab/>
        <w:t xml:space="preserve">5.34. </w:t>
      </w:r>
      <w:hyperlink r:id="rId6" w:history="1">
        <w:r>
          <w:rPr>
            <w:rStyle w:val="af9"/>
            <w:rFonts w:ascii="Liberation Sans" w:eastAsia="Liberation Sans" w:hAnsi="Liberation Sans" w:cs="Liberation Sans"/>
            <w:color w:val="000000"/>
            <w:sz w:val="22"/>
            <w:szCs w:val="22"/>
            <w:u w:val="none"/>
          </w:rPr>
          <w:t>ГОСТ Р 58861-2020</w:t>
        </w:r>
      </w:hyperlink>
      <w:r>
        <w:rPr>
          <w:rFonts w:ascii="Liberation Sans" w:eastAsia="Liberation Sans" w:hAnsi="Liberation Sans" w:cs="Liberation Sans"/>
          <w:sz w:val="22"/>
          <w:szCs w:val="22"/>
        </w:rPr>
        <w:t xml:space="preserve"> Дороги автомобильные общего пользования. Капитальный ремонт и ремонт. Планирование межремонтных сроков.</w:t>
      </w:r>
    </w:p>
    <w:p w14:paraId="07038C9E" w14:textId="77777777" w:rsidR="00EC44E8" w:rsidRDefault="000D3CEB">
      <w:pPr>
        <w:spacing w:line="65" w:lineRule="atLeast"/>
        <w:ind w:right="-11" w:firstLine="708"/>
      </w:pPr>
      <w:r>
        <w:rPr>
          <w:rFonts w:ascii="Liberation Sans" w:eastAsia="Liberation Sans" w:hAnsi="Liberation Sans" w:cs="Liberation Sans"/>
          <w:sz w:val="22"/>
          <w:szCs w:val="22"/>
        </w:rPr>
        <w:t>5.35. ГОСТ Р 58862-2020 Дороги автомобильные общего пользования. Содержание. Периодичность проведения.</w:t>
      </w:r>
    </w:p>
    <w:p w14:paraId="2E363E60" w14:textId="77777777" w:rsidR="00EC44E8" w:rsidRDefault="000D3CEB">
      <w:pPr>
        <w:spacing w:line="276" w:lineRule="auto"/>
        <w:ind w:right="-11" w:firstLine="708"/>
      </w:pPr>
      <w:r>
        <w:rPr>
          <w:rFonts w:ascii="Liberation Sans" w:eastAsia="Liberation Sans" w:hAnsi="Liberation Sans" w:cs="Liberation Sans"/>
          <w:sz w:val="22"/>
          <w:szCs w:val="22"/>
        </w:rPr>
        <w:t xml:space="preserve">5.36. </w:t>
      </w:r>
      <w:hyperlink r:id="rId7" w:history="1">
        <w:r>
          <w:rPr>
            <w:rStyle w:val="af9"/>
            <w:rFonts w:ascii="Liberation Sans" w:eastAsia="Liberation Sans" w:hAnsi="Liberation Sans" w:cs="Liberation Sans"/>
            <w:color w:val="000000"/>
            <w:sz w:val="22"/>
            <w:szCs w:val="22"/>
            <w:u w:val="none"/>
          </w:rPr>
          <w:t>ГОСТ 33027-2014</w:t>
        </w:r>
      </w:hyperlink>
      <w:r>
        <w:rPr>
          <w:rFonts w:ascii="Liberation Sans" w:eastAsia="Liberation Sans" w:hAnsi="Liberation Sans" w:cs="Liberation Sans"/>
          <w:sz w:val="22"/>
          <w:szCs w:val="22"/>
        </w:rPr>
        <w:t xml:space="preserve"> Дороги автомобильные общего пользования. Требования к размещению средств наружной рекламы.</w:t>
      </w:r>
    </w:p>
    <w:p w14:paraId="7203AC75" w14:textId="77777777" w:rsidR="00EC44E8" w:rsidRDefault="000D3CEB">
      <w:pPr>
        <w:spacing w:line="276" w:lineRule="auto"/>
        <w:ind w:right="-11" w:firstLine="708"/>
      </w:pPr>
      <w:r>
        <w:rPr>
          <w:rFonts w:ascii="Liberation Sans" w:eastAsia="Liberation Sans" w:hAnsi="Liberation Sans" w:cs="Liberation Sans"/>
          <w:sz w:val="22"/>
          <w:szCs w:val="22"/>
        </w:rPr>
        <w:t>5.37. ГОСТ 33101-2014 Межгосударственный стандарт «Дороги автомобильные общего пользования. Покрытия дорожные. Методы измерения ровности».</w:t>
      </w:r>
    </w:p>
    <w:p w14:paraId="11FBFE91" w14:textId="77777777" w:rsidR="00EC44E8" w:rsidRDefault="000D3CEB">
      <w:pPr>
        <w:spacing w:line="276" w:lineRule="auto"/>
        <w:ind w:right="-11" w:firstLine="708"/>
      </w:pPr>
      <w:r>
        <w:rPr>
          <w:rFonts w:ascii="Liberation Sans" w:eastAsia="Liberation Sans" w:hAnsi="Liberation Sans" w:cs="Liberation Sans"/>
          <w:sz w:val="22"/>
          <w:szCs w:val="22"/>
        </w:rPr>
        <w:t>5.38. ГОСТ 33383-2015 Дороги автомобильные общего пользования. Геометрические элементы. Методы определения параметров.</w:t>
      </w:r>
    </w:p>
    <w:p w14:paraId="0B61B01C" w14:textId="77777777" w:rsidR="00EC44E8" w:rsidRDefault="000D3CEB">
      <w:pPr>
        <w:spacing w:line="276" w:lineRule="auto"/>
        <w:ind w:right="-11" w:firstLine="708"/>
      </w:pPr>
      <w:r>
        <w:rPr>
          <w:rFonts w:ascii="Liberation Sans" w:eastAsia="Liberation Sans" w:hAnsi="Liberation Sans" w:cs="Liberation Sans"/>
          <w:sz w:val="22"/>
          <w:szCs w:val="22"/>
        </w:rPr>
        <w:t>5.39. ГОСТ 33078-2014 Межгосударственный стандарт «Дороги автомобильные общего пользования. Методы измерения сцепления колеса автомобиля с покрытием».</w:t>
      </w:r>
    </w:p>
    <w:p w14:paraId="3DADD4D3" w14:textId="77777777" w:rsidR="00EC44E8" w:rsidRDefault="000D3CEB">
      <w:pPr>
        <w:spacing w:line="276" w:lineRule="auto"/>
        <w:ind w:right="-11" w:firstLine="708"/>
      </w:pPr>
      <w:r>
        <w:rPr>
          <w:rFonts w:ascii="Liberation Sans" w:eastAsia="Liberation Sans" w:hAnsi="Liberation Sans" w:cs="Liberation Sans"/>
          <w:spacing w:val="3"/>
          <w:sz w:val="22"/>
          <w:szCs w:val="22"/>
        </w:rPr>
        <w:t>5.40. ГОСТ Р 58349-2019 Национальный стандарт Российской Федерации «Дороги автомобильные общего пользования. Дорожная одежда. Методы измерения толщины слоёв дорожной одежды».</w:t>
      </w:r>
    </w:p>
    <w:p w14:paraId="50CA7466" w14:textId="77777777" w:rsidR="00EC44E8" w:rsidRDefault="000D3CEB">
      <w:pPr>
        <w:spacing w:line="276" w:lineRule="auto"/>
        <w:ind w:right="-11" w:firstLine="708"/>
      </w:pPr>
      <w:r>
        <w:rPr>
          <w:rFonts w:ascii="Liberation Sans" w:eastAsia="Liberation Sans" w:hAnsi="Liberation Sans" w:cs="Liberation Sans"/>
          <w:sz w:val="22"/>
          <w:szCs w:val="22"/>
        </w:rPr>
        <w:t>5.41. ГОСТ 33382-2015 Межгосударственный стандарт «Дороги автомобильные общего пользования. Техническая классификация».</w:t>
      </w:r>
    </w:p>
    <w:p w14:paraId="01E04D6B" w14:textId="77777777" w:rsidR="00EC44E8" w:rsidRDefault="000D3CEB">
      <w:pPr>
        <w:spacing w:line="276" w:lineRule="auto"/>
        <w:ind w:right="-11" w:firstLine="708"/>
        <w:rPr>
          <w:rFonts w:ascii="Liberation Sans" w:eastAsia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5.42.  ГОСТ Р 70690-2023 Дороги автомобильные общего пользования. Лазерное сканирование. Требования к данным лазерного сканирования на различных этапах жизненного цикла автомобильной дороги.</w:t>
      </w:r>
    </w:p>
    <w:p w14:paraId="1506A59D" w14:textId="77777777" w:rsidR="00EC44E8" w:rsidRDefault="000D3CEB">
      <w:pPr>
        <w:spacing w:line="276" w:lineRule="auto"/>
        <w:ind w:right="-11" w:firstLine="708"/>
        <w:rPr>
          <w:rFonts w:ascii="Liberation Sans" w:eastAsia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5.43. Приказ Министерства транспорта Российской Федерации от 17.04.2026 № 168 “Об установлении порядка подготовки отчета по результатам проведения диагностики (оценки технического состояния) автомобильной дороги, требования к его структуре и содержанию.</w:t>
      </w:r>
    </w:p>
    <w:p w14:paraId="3B0C442A" w14:textId="77777777" w:rsidR="00EC44E8" w:rsidRDefault="000D3CEB">
      <w:pPr>
        <w:spacing w:line="276" w:lineRule="auto"/>
        <w:ind w:firstLine="708"/>
      </w:pPr>
      <w:r>
        <w:rPr>
          <w:rFonts w:ascii="Liberation Sans" w:eastAsia="Liberation Sans" w:hAnsi="Liberation Sans" w:cs="Liberation Sans"/>
          <w:sz w:val="22"/>
          <w:szCs w:val="22"/>
        </w:rPr>
        <w:t>При выполнении работ подрядчик обязан руководствоваться всеми другими необходимыми действующими нормативными документами, относящимися к предмету контракта. При этом, применяются актуальные редакции нормативных документов, действующие на момент фактического выполне</w:t>
      </w:r>
      <w:r>
        <w:rPr>
          <w:rFonts w:ascii="Liberation Sans" w:eastAsia="Liberation Sans" w:hAnsi="Liberation Sans" w:cs="Liberation Sans"/>
          <w:sz w:val="22"/>
          <w:szCs w:val="22"/>
        </w:rPr>
        <w:lastRenderedPageBreak/>
        <w:t>ния соответствующих работ. В случае внесения изменений или выхода новых нормативных документов, регламентирующих выполнение работ, подрядчик обязан использовать актуальные версии таких документов.</w:t>
      </w:r>
    </w:p>
    <w:p w14:paraId="609FDEB7" w14:textId="77777777" w:rsidR="00EC44E8" w:rsidRDefault="000D3CEB">
      <w:pPr>
        <w:spacing w:line="276" w:lineRule="auto"/>
      </w:pPr>
      <w:r>
        <w:rPr>
          <w:rFonts w:ascii="Liberation Sans" w:eastAsia="Liberation Sans" w:hAnsi="Liberation Sans" w:cs="Liberation Sans"/>
          <w:b/>
          <w:sz w:val="22"/>
        </w:rPr>
        <w:t xml:space="preserve">         </w:t>
      </w:r>
    </w:p>
    <w:p w14:paraId="702FFC0D" w14:textId="77777777" w:rsidR="00EC44E8" w:rsidRDefault="000D3CEB">
      <w:pPr>
        <w:spacing w:line="276" w:lineRule="auto"/>
      </w:pPr>
      <w:r>
        <w:rPr>
          <w:rFonts w:ascii="Liberation Sans" w:eastAsia="Liberation Sans" w:hAnsi="Liberation Sans" w:cs="Liberation Sans"/>
          <w:b/>
          <w:sz w:val="22"/>
        </w:rPr>
        <w:t xml:space="preserve">             6. Результаты выполняемых работ: </w:t>
      </w:r>
    </w:p>
    <w:p w14:paraId="7BE57C4D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6.1. </w:t>
      </w:r>
      <w:proofErr w:type="gramStart"/>
      <w:r>
        <w:rPr>
          <w:rFonts w:ascii="Liberation Sans" w:eastAsia="Liberation Sans" w:hAnsi="Liberation Sans" w:cs="Liberation Sans"/>
          <w:sz w:val="22"/>
        </w:rPr>
        <w:t>Отчеты по комплексной оценке</w:t>
      </w:r>
      <w:proofErr w:type="gramEnd"/>
      <w:r>
        <w:rPr>
          <w:rFonts w:ascii="Liberation Sans" w:eastAsia="Liberation Sans" w:hAnsi="Liberation Sans" w:cs="Liberation Sans"/>
          <w:sz w:val="22"/>
        </w:rPr>
        <w:t xml:space="preserve"> транспортно-эксплуатационного состояния автомобильных дорог.</w:t>
      </w:r>
    </w:p>
    <w:p w14:paraId="2DDE804C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6.2. Ведомость по определению протяженности участков, несоответствующих нормативным требованиям транспортно-эксплуатационному состоянию автомобильных дорог.</w:t>
      </w:r>
    </w:p>
    <w:p w14:paraId="4BECB3DB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6.3. Отчет по определению допустимых осевых нагрузок в весенний период, в том числе мостовые сооружения.</w:t>
      </w:r>
    </w:p>
    <w:p w14:paraId="52BCC701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6.4. Отчет по определению средней скорости транспортного потока, пропускной способности, уровня загрузки по автомобильным дорогам, определение </w:t>
      </w:r>
      <w:proofErr w:type="gramStart"/>
      <w:r>
        <w:rPr>
          <w:rFonts w:ascii="Liberation Sans" w:eastAsia="Liberation Sans" w:hAnsi="Liberation Sans" w:cs="Liberation Sans"/>
          <w:sz w:val="22"/>
        </w:rPr>
        <w:t>участков</w:t>
      </w:r>
      <w:proofErr w:type="gramEnd"/>
      <w:r>
        <w:rPr>
          <w:rFonts w:ascii="Liberation Sans" w:eastAsia="Liberation Sans" w:hAnsi="Liberation Sans" w:cs="Liberation Sans"/>
          <w:sz w:val="22"/>
        </w:rPr>
        <w:t xml:space="preserve"> работающих в режиме перегрузки.</w:t>
      </w:r>
    </w:p>
    <w:p w14:paraId="2F2B412A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6.5. Сводная ведомость мероприятий по приведению автомобильных дорог к нормативным требованиям.</w:t>
      </w:r>
    </w:p>
    <w:p w14:paraId="296FACE5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6.6. Паспорта на автомобильные дороги.</w:t>
      </w:r>
    </w:p>
    <w:p w14:paraId="3C488F5B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6.7. Отчет по определению расчетной нагрузки дорожной одежды с капитальным типом покрытия на автомобильных дорогах.</w:t>
      </w:r>
    </w:p>
    <w:p w14:paraId="46B05872" w14:textId="77777777" w:rsidR="00EC44E8" w:rsidRPr="004A246A" w:rsidRDefault="000D3CEB">
      <w:pPr>
        <w:spacing w:line="276" w:lineRule="auto"/>
        <w:ind w:firstLine="709"/>
        <w:jc w:val="both"/>
      </w:pPr>
      <w:r w:rsidRPr="004A246A">
        <w:rPr>
          <w:rFonts w:ascii="Liberation Sans" w:eastAsia="Liberation Sans" w:hAnsi="Liberation Sans" w:cs="Liberation Sans"/>
          <w:sz w:val="22"/>
        </w:rPr>
        <w:t>6.8. Информационно-аналитическая база данных с результатами выполнения работ.</w:t>
      </w:r>
    </w:p>
    <w:p w14:paraId="763DE4B4" w14:textId="641FA7B5" w:rsidR="00EC44E8" w:rsidRDefault="000D3CEB">
      <w:pPr>
        <w:spacing w:line="276" w:lineRule="auto"/>
        <w:ind w:firstLine="709"/>
        <w:jc w:val="both"/>
      </w:pPr>
      <w:r w:rsidRPr="00736711">
        <w:rPr>
          <w:rFonts w:ascii="Liberation Sans" w:eastAsia="Liberation Sans" w:hAnsi="Liberation Sans" w:cs="Liberation Sans"/>
          <w:sz w:val="22"/>
        </w:rPr>
        <w:t xml:space="preserve">6.9. </w:t>
      </w:r>
      <w:proofErr w:type="spellStart"/>
      <w:r w:rsidRPr="00736711">
        <w:rPr>
          <w:rFonts w:ascii="Liberation Sans" w:eastAsia="Liberation Sans" w:hAnsi="Liberation Sans" w:cs="Liberation Sans"/>
          <w:sz w:val="22"/>
        </w:rPr>
        <w:t>Видеобанк</w:t>
      </w:r>
      <w:proofErr w:type="spellEnd"/>
      <w:r w:rsidRPr="00736711">
        <w:rPr>
          <w:rFonts w:ascii="Liberation Sans" w:eastAsia="Liberation Sans" w:hAnsi="Liberation Sans" w:cs="Liberation Sans"/>
          <w:sz w:val="22"/>
        </w:rPr>
        <w:t xml:space="preserve"> дорожных данных.</w:t>
      </w:r>
    </w:p>
    <w:p w14:paraId="3F7BBEAF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6.10. Ведомость обоснования и назначения ремонтных мероприятий.</w:t>
      </w:r>
    </w:p>
    <w:p w14:paraId="094F0BA1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6.11. Ведомости, с указанием наличия освещения, разметки, дорожных знаков и светофоров с указанием </w:t>
      </w:r>
      <w:proofErr w:type="spellStart"/>
      <w:r>
        <w:rPr>
          <w:rFonts w:ascii="Liberation Sans" w:eastAsia="Liberation Sans" w:hAnsi="Liberation Sans" w:cs="Liberation Sans"/>
          <w:sz w:val="22"/>
        </w:rPr>
        <w:t>геокоординат</w:t>
      </w:r>
      <w:proofErr w:type="spellEnd"/>
      <w:r>
        <w:rPr>
          <w:rFonts w:ascii="Liberation Sans" w:eastAsia="Liberation Sans" w:hAnsi="Liberation Sans" w:cs="Liberation Sans"/>
          <w:sz w:val="22"/>
        </w:rPr>
        <w:t xml:space="preserve"> в установленной форме согласно приложениям №№ 1.1- 1.4 к Заданию в формате XLSX.</w:t>
      </w:r>
    </w:p>
    <w:p w14:paraId="387DE0FA" w14:textId="1D6C06DB" w:rsidR="00EC44E8" w:rsidRDefault="00736711">
      <w:pPr>
        <w:spacing w:line="276" w:lineRule="auto"/>
        <w:ind w:firstLine="708"/>
        <w:rPr>
          <w:rFonts w:ascii="Liberation Sans" w:eastAsia="Liberation Sans" w:hAnsi="Liberation Sans" w:cs="Liberation Sans"/>
          <w:sz w:val="22"/>
          <w:szCs w:val="22"/>
        </w:rPr>
      </w:pPr>
      <w:r w:rsidRPr="00736711">
        <w:rPr>
          <w:rFonts w:ascii="Liberation Sans" w:eastAsia="Liberation Sans" w:hAnsi="Liberation Sans" w:cs="Liberation Sans"/>
          <w:sz w:val="22"/>
          <w:szCs w:val="22"/>
        </w:rPr>
        <w:t>6.12</w:t>
      </w:r>
      <w:r w:rsidR="000D3CEB" w:rsidRPr="00736711">
        <w:rPr>
          <w:rFonts w:ascii="Liberation Sans" w:eastAsia="Liberation Sans" w:hAnsi="Liberation Sans" w:cs="Liberation Sans"/>
          <w:sz w:val="22"/>
          <w:szCs w:val="22"/>
        </w:rPr>
        <w:t>. Разработать ведомости результатов диагностики автомобильных дорог в виде файлов, соответствующих требованиям к формату и структуре данных, необходимым для успешной выгрузки информации в Систему Контроля Дорожных Фондов (СКДФ).</w:t>
      </w:r>
    </w:p>
    <w:p w14:paraId="502CA738" w14:textId="77777777" w:rsidR="00EC44E8" w:rsidRDefault="00EC44E8">
      <w:pPr>
        <w:spacing w:line="276" w:lineRule="auto"/>
        <w:ind w:firstLine="709"/>
        <w:jc w:val="both"/>
        <w:rPr>
          <w:rFonts w:ascii="Liberation Sans" w:hAnsi="Liberation Sans" w:cs="Liberation Sans"/>
        </w:rPr>
      </w:pPr>
    </w:p>
    <w:p w14:paraId="5C17E55C" w14:textId="77777777" w:rsidR="00EC44E8" w:rsidRDefault="000D3CEB">
      <w:pPr>
        <w:spacing w:line="276" w:lineRule="auto"/>
        <w:ind w:firstLine="283"/>
        <w:jc w:val="both"/>
      </w:pPr>
      <w:r>
        <w:rPr>
          <w:rFonts w:ascii="Liberation Sans" w:eastAsia="Liberation Sans" w:hAnsi="Liberation Sans" w:cs="Liberation Sans"/>
          <w:b/>
          <w:sz w:val="22"/>
        </w:rPr>
        <w:t xml:space="preserve">       7.  Технические требования:</w:t>
      </w:r>
    </w:p>
    <w:p w14:paraId="1BC6E858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7.1. При выполнении работ по диагностике, оценке технического состояния и паспортизации автомобильных дорог и составлению отчётной документации на выполненные работы выполнять требования следующих нормативных документов:</w:t>
      </w:r>
    </w:p>
    <w:p w14:paraId="38CC3D5A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- ГОСТ 33388-2015. Дороги автомобильные общего пользования. Требования к проведению диагностики и паспортизации.</w:t>
      </w:r>
    </w:p>
    <w:p w14:paraId="0E5A872E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- Приказ Минтранса России от 07.08.2020 №288 «О порядке проведения оценки технического состояния автомобильных дорог».</w:t>
      </w:r>
    </w:p>
    <w:p w14:paraId="4200AF40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- ОДМ 218.4.039-2018. Отраслевой дорожный методический документ. Рекомендации по диагностике и оценке технического состояния автомобильных дорог.</w:t>
      </w:r>
    </w:p>
    <w:p w14:paraId="2F50054A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7.2. При выполнении работ по комплексной диагностике и оценке технического состояния автомобильных дорог собираются сведения о фактических параметрах элементов и сооружений дороги, и их технического состояния:</w:t>
      </w:r>
    </w:p>
    <w:p w14:paraId="2BE7B5F6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7.2.1. Определяются </w:t>
      </w:r>
      <w:proofErr w:type="spellStart"/>
      <w:r>
        <w:rPr>
          <w:rFonts w:ascii="Liberation Sans" w:eastAsia="Liberation Sans" w:hAnsi="Liberation Sans" w:cs="Liberation Sans"/>
          <w:sz w:val="22"/>
        </w:rPr>
        <w:t>транспортно</w:t>
      </w:r>
      <w:proofErr w:type="spellEnd"/>
      <w:r>
        <w:rPr>
          <w:rFonts w:ascii="Liberation Sans" w:eastAsia="Liberation Sans" w:hAnsi="Liberation Sans" w:cs="Liberation Sans"/>
          <w:sz w:val="22"/>
        </w:rPr>
        <w:t xml:space="preserve"> - эксплуатационные параметры дорог:</w:t>
      </w:r>
    </w:p>
    <w:p w14:paraId="733C5C2E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коэффициент сцепления;</w:t>
      </w:r>
    </w:p>
    <w:p w14:paraId="6DA94B4B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показатель ровности по IRI по двум полосам наката с помощью </w:t>
      </w:r>
      <w:proofErr w:type="spellStart"/>
      <w:r>
        <w:rPr>
          <w:rFonts w:ascii="Liberation Sans" w:eastAsia="Liberation Sans" w:hAnsi="Liberation Sans" w:cs="Liberation Sans"/>
          <w:sz w:val="22"/>
        </w:rPr>
        <w:t>профилометрической</w:t>
      </w:r>
      <w:proofErr w:type="spellEnd"/>
      <w:r>
        <w:rPr>
          <w:rFonts w:ascii="Liberation Sans" w:eastAsia="Liberation Sans" w:hAnsi="Liberation Sans" w:cs="Liberation Sans"/>
          <w:sz w:val="22"/>
        </w:rPr>
        <w:t xml:space="preserve"> </w:t>
      </w:r>
      <w:r>
        <w:rPr>
          <w:rFonts w:ascii="Liberation Sans" w:eastAsia="Liberation Sans" w:hAnsi="Liberation Sans" w:cs="Liberation Sans"/>
          <w:sz w:val="22"/>
        </w:rPr>
        <w:lastRenderedPageBreak/>
        <w:t>установки;</w:t>
      </w:r>
    </w:p>
    <w:p w14:paraId="12BA5C62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модуль упругости;</w:t>
      </w:r>
    </w:p>
    <w:p w14:paraId="1276D0E1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расчет дорожной одежды на осевые нагрузки транспортных средств для введения ограничения;</w:t>
      </w:r>
    </w:p>
    <w:p w14:paraId="733800D5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поперечную ровность покрытия;</w:t>
      </w:r>
    </w:p>
    <w:p w14:paraId="4684D4F4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дефекты дорожного покрытия;</w:t>
      </w:r>
    </w:p>
    <w:p w14:paraId="70EA6BEE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интенсивность движения: определяется на начальных и конечных точках трассы, а также в характерных местах изменения интенсивности дорожного движения и состава потока. Работы проводятся в соответствии с ГОСТ 32965-2014. Дороги автомобильные общего пользования. Методы учета интенсивности движения транспортного потока.</w:t>
      </w:r>
    </w:p>
    <w:p w14:paraId="6C3B7AC0" w14:textId="77777777" w:rsidR="00EC44E8" w:rsidRDefault="000D3CEB">
      <w:pPr>
        <w:widowControl w:val="0"/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7.2.2. Выполняются работы по обследованию дорог и искусственных сооружений:</w:t>
      </w:r>
    </w:p>
    <w:p w14:paraId="40E10A2A" w14:textId="77777777" w:rsidR="00EC44E8" w:rsidRDefault="000D3CEB">
      <w:pPr>
        <w:widowControl w:val="0"/>
        <w:numPr>
          <w:ilvl w:val="0"/>
          <w:numId w:val="4"/>
        </w:numPr>
        <w:spacing w:line="276" w:lineRule="auto"/>
        <w:ind w:left="0"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Определение геометрических параметров автомобильных дорог (план, продольный профиль, участки с необеспеченной видимостью в продольном профиле и плане);</w:t>
      </w:r>
    </w:p>
    <w:p w14:paraId="144FD530" w14:textId="77777777" w:rsidR="00EC44E8" w:rsidRDefault="000D3CEB">
      <w:pPr>
        <w:widowControl w:val="0"/>
        <w:numPr>
          <w:ilvl w:val="0"/>
          <w:numId w:val="4"/>
        </w:numPr>
        <w:spacing w:line="276" w:lineRule="auto"/>
        <w:ind w:left="0"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Определение характеристик поперечного профиля земляного полотна (ширина проезжей части, разделительных и боковых полос, переходно-скоростных полос и обочин, в т.ч. укрепленных, поперечные уклоны, высота насыпей, глубина выемок, заложение откосов, продольные канавы, водоотводные устройства и т.д.);</w:t>
      </w:r>
    </w:p>
    <w:p w14:paraId="55B24371" w14:textId="77777777" w:rsidR="00EC44E8" w:rsidRDefault="000D3CEB">
      <w:pPr>
        <w:widowControl w:val="0"/>
        <w:numPr>
          <w:ilvl w:val="0"/>
          <w:numId w:val="4"/>
        </w:numPr>
        <w:spacing w:line="276" w:lineRule="auto"/>
        <w:ind w:left="0"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Определение характеристик существующих технических средств организации дорожного движения, инженерного оборудования и объектов дорожного сервиса;</w:t>
      </w:r>
    </w:p>
    <w:p w14:paraId="32D217F3" w14:textId="77777777" w:rsidR="00EC44E8" w:rsidRDefault="000D3CEB">
      <w:pPr>
        <w:widowControl w:val="0"/>
        <w:numPr>
          <w:ilvl w:val="0"/>
          <w:numId w:val="4"/>
        </w:numPr>
        <w:spacing w:line="276" w:lineRule="auto"/>
        <w:ind w:left="0"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>Определяются геометрические параметры, технические характеристики искусственных сооружений (мостовых сооружений, дорожных труб, понтонных и паромных переправ и т.д.).</w:t>
      </w:r>
    </w:p>
    <w:p w14:paraId="40ED8D35" w14:textId="77777777" w:rsidR="00EC44E8" w:rsidRDefault="000D3CEB">
      <w:pPr>
        <w:widowControl w:val="0"/>
        <w:spacing w:line="276" w:lineRule="auto"/>
        <w:ind w:firstLine="709"/>
        <w:contextualSpacing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7.2.3. Работы по определению фактического технического состояния автомобильной дороги должны включать в себя:  </w:t>
      </w:r>
    </w:p>
    <w:p w14:paraId="744F127A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анализ соответствия технического и эксплуатационного состояния дороги существующему режиму движения (расчет средней скорости потока, определение пропускной способности, уровня загрузки и способности дороги пропускать транспортные средства с допустимыми для движения осевыми нагрузками, общей массой и габаритами);</w:t>
      </w:r>
    </w:p>
    <w:p w14:paraId="1884C590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анализ соответствия технического и эксплуатационного состояния дороги (участка дороги) установленной технической категории;</w:t>
      </w:r>
    </w:p>
    <w:p w14:paraId="389BE6E0" w14:textId="77777777" w:rsidR="00EC44E8" w:rsidRDefault="000D3CEB">
      <w:pPr>
        <w:widowControl w:val="0"/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заключение о транспортно-эксплуатационном состоянии дороги (участка дороги) с указанием мероприятий, выделением видов работ и сроков их проведения по приведению данной дороги (участка дороги) к существующим нормативным требования.</w:t>
      </w:r>
    </w:p>
    <w:p w14:paraId="4FF4F6BE" w14:textId="77777777" w:rsidR="00EC44E8" w:rsidRDefault="000D3CEB">
      <w:pPr>
        <w:widowControl w:val="0"/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7.3. При техническом учете автомобильных дорог общего пользования составляются следующие документы:</w:t>
      </w:r>
    </w:p>
    <w:p w14:paraId="03AAA8ED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паспорт автомобильной дороги с линейным графиком;</w:t>
      </w:r>
    </w:p>
    <w:p w14:paraId="451F2DAA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карточки на мосты (путепроводы);</w:t>
      </w:r>
    </w:p>
    <w:p w14:paraId="5827BAFB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карточки на трубы;</w:t>
      </w:r>
    </w:p>
    <w:p w14:paraId="073D226D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left="1417" w:hanging="708"/>
        <w:jc w:val="both"/>
      </w:pPr>
      <w:r>
        <w:rPr>
          <w:rFonts w:ascii="Liberation Sans" w:eastAsia="Liberation Sans" w:hAnsi="Liberation Sans" w:cs="Liberation Sans"/>
          <w:sz w:val="22"/>
        </w:rPr>
        <w:t>карточки объектов дорожного сервиса находящихся в пределах полосы отвода.</w:t>
      </w:r>
    </w:p>
    <w:p w14:paraId="4F5E7102" w14:textId="77777777" w:rsidR="00EC44E8" w:rsidRDefault="000D3CEB">
      <w:pPr>
        <w:widowControl w:val="0"/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Ведомости наличия и технического состояния:</w:t>
      </w:r>
    </w:p>
    <w:p w14:paraId="75224984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мостов (путепроводов);</w:t>
      </w:r>
    </w:p>
    <w:p w14:paraId="3F6B4D75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труб;</w:t>
      </w:r>
    </w:p>
    <w:p w14:paraId="128748C4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зданий дорожной службы;</w:t>
      </w:r>
    </w:p>
    <w:p w14:paraId="6AFF30B6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lastRenderedPageBreak/>
        <w:t>постов ДПС;</w:t>
      </w:r>
    </w:p>
    <w:p w14:paraId="5AFCA815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автобусных остановок;</w:t>
      </w:r>
    </w:p>
    <w:p w14:paraId="29C9121C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переходно-скоростных полос;</w:t>
      </w:r>
    </w:p>
    <w:p w14:paraId="21C885E7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дорожных знаков;</w:t>
      </w:r>
    </w:p>
    <w:p w14:paraId="24C5BE92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ограждений;</w:t>
      </w:r>
    </w:p>
    <w:p w14:paraId="512C9DBC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направляющих устройств;</w:t>
      </w:r>
    </w:p>
    <w:p w14:paraId="37AC2611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озеленения;</w:t>
      </w:r>
    </w:p>
    <w:p w14:paraId="623D1BD0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тротуаров и пешеходных дорожек;</w:t>
      </w:r>
    </w:p>
    <w:p w14:paraId="5D60D8E5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укрепления обочин;</w:t>
      </w:r>
    </w:p>
    <w:p w14:paraId="676DBD54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съездов;</w:t>
      </w:r>
    </w:p>
    <w:p w14:paraId="78052E2E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освещения;</w:t>
      </w:r>
    </w:p>
    <w:p w14:paraId="79C9A5C6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конструкции существующей дорожной одежды;</w:t>
      </w:r>
    </w:p>
    <w:p w14:paraId="47E9A1ED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left="567" w:firstLine="142"/>
        <w:jc w:val="both"/>
      </w:pPr>
      <w:r>
        <w:rPr>
          <w:rFonts w:ascii="Liberation Sans" w:eastAsia="Liberation Sans" w:hAnsi="Liberation Sans" w:cs="Liberation Sans"/>
          <w:sz w:val="22"/>
        </w:rPr>
        <w:t>ведомость наличия коммуникаций, находящихся в пределах полосы отвода;</w:t>
      </w:r>
    </w:p>
    <w:p w14:paraId="68F5EAD2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ведомость размеров полосы отвода;</w:t>
      </w:r>
    </w:p>
    <w:p w14:paraId="3D3E5F71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ведомость площадок отдыха;</w:t>
      </w:r>
    </w:p>
    <w:p w14:paraId="1CE05422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ведомость наличия понтонных и паромных переправ. </w:t>
      </w:r>
    </w:p>
    <w:p w14:paraId="65086D46" w14:textId="77777777" w:rsidR="00EC44E8" w:rsidRDefault="000D3CEB">
      <w:pPr>
        <w:widowControl w:val="0"/>
        <w:numPr>
          <w:ilvl w:val="0"/>
          <w:numId w:val="5"/>
        </w:num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сводная ведомость наличия автомобильных дорог и сооружений.</w:t>
      </w:r>
    </w:p>
    <w:p w14:paraId="0F54F6DE" w14:textId="77777777" w:rsidR="00EC44E8" w:rsidRDefault="000D3CEB">
      <w:pPr>
        <w:widowControl w:val="0"/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Все ведомости должны быть представлены в виде таблицы с подведением итогов.</w:t>
      </w:r>
    </w:p>
    <w:p w14:paraId="498F4D5B" w14:textId="77777777" w:rsidR="00EC44E8" w:rsidRDefault="000D3CEB">
      <w:pPr>
        <w:widowControl w:val="0"/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 xml:space="preserve">7.4. Требования к формированию информационной базы данных: </w:t>
      </w:r>
    </w:p>
    <w:p w14:paraId="19978A6E" w14:textId="77777777" w:rsidR="00EC44E8" w:rsidRDefault="000D3CEB">
      <w:pPr>
        <w:pStyle w:val="ListParagraph11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</w:rPr>
        <w:t>Все собранные и обработанные данные заносятся в базу данных с результатами фото- и видеосъемки обследуемых объектов в электронном виде в имеющуюся у Государственного заказчика базу данных без потери качества, объёма и изменения структуры построения содержащейся информации, с возможностью внесения изменений в процессе эксплуатации автомобильных дорог и искусственных сооружений.</w:t>
      </w:r>
    </w:p>
    <w:p w14:paraId="65A666CA" w14:textId="77777777" w:rsidR="00EC44E8" w:rsidRDefault="000D3CEB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Все окончательные выходные формы таблиц, ведомостей, отчётов и графической информации должны быть предварительно согласованы с Заказчиком.</w:t>
      </w:r>
    </w:p>
    <w:p w14:paraId="3BC24281" w14:textId="77777777" w:rsidR="00EC44E8" w:rsidRDefault="00EC44E8">
      <w:pPr>
        <w:spacing w:line="276" w:lineRule="auto"/>
        <w:ind w:firstLine="709"/>
        <w:jc w:val="both"/>
        <w:rPr>
          <w:rFonts w:ascii="Liberation Sans" w:hAnsi="Liberation Sans" w:cs="Liberation Sans"/>
          <w:sz w:val="22"/>
        </w:rPr>
      </w:pPr>
    </w:p>
    <w:p w14:paraId="267E10A7" w14:textId="77777777" w:rsidR="00EC44E8" w:rsidRDefault="000D3CEB">
      <w:pPr>
        <w:spacing w:line="276" w:lineRule="auto"/>
        <w:ind w:left="180" w:hanging="180"/>
        <w:jc w:val="both"/>
      </w:pPr>
      <w:r>
        <w:rPr>
          <w:rFonts w:ascii="Liberation Sans" w:eastAsia="Liberation Sans" w:hAnsi="Liberation Sans" w:cs="Liberation Sans"/>
          <w:b/>
          <w:sz w:val="22"/>
        </w:rPr>
        <w:t xml:space="preserve">           8.   Особые условия:</w:t>
      </w:r>
    </w:p>
    <w:p w14:paraId="4D519C93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8.1. В процессе полевых изысканий должны быть выполнены следующие работы:</w:t>
      </w:r>
    </w:p>
    <w:p w14:paraId="4EF09F4C" w14:textId="77777777" w:rsidR="00EC44E8" w:rsidRDefault="000D3CEB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</w:rPr>
        <w:t>Геодезические (топографические) измерения необходимые для определения геометрических параметров автомобильной дороги – элементов плана, продольного профиля, участки с необеспеченной видимостью.</w:t>
      </w:r>
    </w:p>
    <w:p w14:paraId="001C1608" w14:textId="77777777" w:rsidR="00EC44E8" w:rsidRDefault="000D3CEB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Fonts w:ascii="Liberation Sans" w:eastAsia="Times New Roman" w:hAnsi="Liberation Sans" w:cs="Times New Roman"/>
          <w:sz w:val="22"/>
          <w:szCs w:val="22"/>
        </w:rPr>
        <w:t>Работы по мобильному лазерному сканированию для построения цифровой модели местности (ЦММ) выполняются в соответствии</w:t>
      </w:r>
      <w:r>
        <w:rPr>
          <w:rFonts w:eastAsia="XO Thames" w:cs="Times New Roman"/>
          <w:sz w:val="22"/>
          <w:szCs w:val="22"/>
        </w:rPr>
        <w:t xml:space="preserve"> </w:t>
      </w:r>
      <w:r>
        <w:rPr>
          <w:rFonts w:ascii="Liberation Sans" w:eastAsia="Times New Roman" w:hAnsi="Liberation Sans" w:cs="Times New Roman"/>
          <w:sz w:val="22"/>
          <w:szCs w:val="22"/>
        </w:rPr>
        <w:t>с ГОСТ Р 70690-</w:t>
      </w:r>
      <w:proofErr w:type="gramStart"/>
      <w:r>
        <w:rPr>
          <w:rFonts w:ascii="Liberation Sans" w:eastAsia="Times New Roman" w:hAnsi="Liberation Sans" w:cs="Times New Roman"/>
          <w:sz w:val="22"/>
          <w:szCs w:val="22"/>
        </w:rPr>
        <w:t>2023 .</w:t>
      </w:r>
      <w:proofErr w:type="gramEnd"/>
      <w:r>
        <w:rPr>
          <w:rFonts w:ascii="Liberation Sans" w:eastAsia="Times New Roman" w:hAnsi="Liberation Sans" w:cs="Times New Roman"/>
          <w:sz w:val="22"/>
          <w:szCs w:val="22"/>
        </w:rPr>
        <w:t xml:space="preserve"> Сканирование необходимо выполнять в двух направлениях (прямо и обратно) при проезде по крайней правой полосе движения со средней скоростью не более 40 км\ч. Плотность точек лазерных отражений должна составлять не менее 500 лазерных отражений (далее — точка) на 1 м2 в пределах проезжей части и не менее 100 точек на 1 м2 в пределах полосы отвода автомобильной дороги.</w:t>
      </w:r>
    </w:p>
    <w:p w14:paraId="5085E834" w14:textId="77777777" w:rsidR="00EC44E8" w:rsidRDefault="000D3CEB">
      <w:pPr>
        <w:numPr>
          <w:ilvl w:val="0"/>
          <w:numId w:val="7"/>
        </w:numPr>
        <w:tabs>
          <w:tab w:val="left" w:pos="993"/>
        </w:tabs>
        <w:spacing w:line="276" w:lineRule="auto"/>
        <w:ind w:left="720" w:hanging="360"/>
        <w:jc w:val="both"/>
      </w:pPr>
      <w:r>
        <w:rPr>
          <w:rFonts w:ascii="Arial" w:hAnsi="Arial" w:cs="Arial"/>
          <w:sz w:val="22"/>
          <w:szCs w:val="22"/>
        </w:rPr>
        <w:t>Облако точек лазерного сканирования должно быть классифицировано минимум на следующие классы:</w:t>
      </w:r>
    </w:p>
    <w:p w14:paraId="3C29EEAE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- пределы допускаемой абсолютной погрешности определения координат точек отражения лазерного импульса в плане + 30мм, по высоте + 30мм при устойчивом приеме спутникового сигнала;</w:t>
      </w:r>
    </w:p>
    <w:p w14:paraId="2FB65EA1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lastRenderedPageBreak/>
        <w:t>- средняя ошибка определения дальности точек лазерных отражений, относительно центра сканирования не более 3.5 мм на 50м.</w:t>
      </w:r>
    </w:p>
    <w:p w14:paraId="02592307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Параметры данных сканирования:</w:t>
      </w:r>
    </w:p>
    <w:p w14:paraId="30A18388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- расстояние между линиями сканирования в скане не более 17 см;</w:t>
      </w:r>
    </w:p>
    <w:p w14:paraId="3F3FD6E5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- расстояние между точками в одной линии сканирования не более 20 мм. на удаление 10 м от центра сканирования;</w:t>
      </w:r>
    </w:p>
    <w:p w14:paraId="0F23DB8C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- относительная точность определения углов ориентирования панорамных снимков в трехмерном пространстве не хуже 0.01 градуса;</w:t>
      </w:r>
    </w:p>
    <w:p w14:paraId="6DAA40DB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</w:pPr>
      <w:r>
        <w:rPr>
          <w:rFonts w:ascii="Arial" w:hAnsi="Arial" w:cs="Arial"/>
          <w:sz w:val="22"/>
          <w:szCs w:val="22"/>
        </w:rPr>
        <w:t>- поверхность земли;</w:t>
      </w:r>
    </w:p>
    <w:p w14:paraId="3786F7D6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</w:pPr>
      <w:r>
        <w:rPr>
          <w:rFonts w:ascii="Arial" w:hAnsi="Arial" w:cs="Arial"/>
          <w:sz w:val="22"/>
          <w:szCs w:val="22"/>
        </w:rPr>
        <w:t xml:space="preserve">- «шум» выше рельефа (точки от проезжающих машин, пешеходов, пыльной взвеси и прочих объектов не относящихся к </w:t>
      </w:r>
      <w:proofErr w:type="gramStart"/>
      <w:r>
        <w:rPr>
          <w:rFonts w:ascii="Arial" w:hAnsi="Arial" w:cs="Arial"/>
          <w:sz w:val="22"/>
          <w:szCs w:val="22"/>
        </w:rPr>
        <w:t>поверхности  земли</w:t>
      </w:r>
      <w:proofErr w:type="gramEnd"/>
      <w:r>
        <w:rPr>
          <w:rFonts w:ascii="Arial" w:hAnsi="Arial" w:cs="Arial"/>
          <w:sz w:val="22"/>
          <w:szCs w:val="22"/>
        </w:rPr>
        <w:t xml:space="preserve"> и элементов обустройства дороги и ее инфраструктуре);</w:t>
      </w:r>
    </w:p>
    <w:p w14:paraId="4FDEA455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</w:pPr>
      <w:r>
        <w:rPr>
          <w:rFonts w:ascii="Arial" w:hAnsi="Arial" w:cs="Arial"/>
          <w:sz w:val="22"/>
          <w:szCs w:val="22"/>
        </w:rPr>
        <w:t>- неклассифицированное (не задано) – все что выше рельефа и не относится к «шуму»;</w:t>
      </w:r>
    </w:p>
    <w:p w14:paraId="2B5337AF" w14:textId="77777777" w:rsidR="00EC44E8" w:rsidRDefault="000D3CEB">
      <w:pPr>
        <w:tabs>
          <w:tab w:val="left" w:pos="993"/>
        </w:tabs>
        <w:spacing w:line="276" w:lineRule="auto"/>
        <w:ind w:left="720"/>
        <w:jc w:val="both"/>
      </w:pPr>
      <w:r>
        <w:rPr>
          <w:rFonts w:ascii="Arial" w:hAnsi="Arial" w:cs="Arial"/>
          <w:sz w:val="22"/>
          <w:szCs w:val="22"/>
        </w:rPr>
        <w:t>- «шум» ниже рельефа.</w:t>
      </w:r>
    </w:p>
    <w:p w14:paraId="328BF025" w14:textId="77777777" w:rsidR="00EC44E8" w:rsidRDefault="000D3CEB">
      <w:pPr>
        <w:pStyle w:val="a6"/>
        <w:keepLines/>
        <w:numPr>
          <w:ilvl w:val="0"/>
          <w:numId w:val="11"/>
        </w:numPr>
        <w:spacing w:line="276" w:lineRule="auto"/>
        <w:ind w:left="0" w:firstLine="283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  <w:szCs w:val="22"/>
        </w:rPr>
        <w:t>Мобильный комплекс лазерного сканирования должен быть оснащен высокоточной инерциальной системой и двухчастотным GPS приемником GPS-ГЛОНАСС, обеспечивающих точность, достаточную для выполнения кадастровых работ, в том числе в условиях значительной застройки (в условиях неуверенного приема сигнала GPS-ГЛОНАСС, менее 6 спутников).</w:t>
      </w:r>
    </w:p>
    <w:p w14:paraId="3D887E6E" w14:textId="77777777" w:rsidR="00EC44E8" w:rsidRDefault="000D3CEB">
      <w:pPr>
        <w:pStyle w:val="a6"/>
        <w:numPr>
          <w:ilvl w:val="0"/>
          <w:numId w:val="9"/>
        </w:numPr>
        <w:spacing w:line="276" w:lineRule="auto"/>
        <w:ind w:left="0" w:firstLine="567"/>
      </w:pPr>
      <w:r>
        <w:rPr>
          <w:rFonts w:ascii="Liberation Sans" w:eastAsia="Times New Roman" w:hAnsi="Liberation Sans" w:cs="Times New Roman"/>
          <w:sz w:val="22"/>
          <w:szCs w:val="22"/>
        </w:rPr>
        <w:t xml:space="preserve">  Для получения объективной информации о состоянии дорожного полотна и принятию обоснованных управленческих и инженерно-технических решений необходима комплексная видеозапись всех участков автомобильных дорог. При ширине проезжей части менее или равной 10 метрам достаточно осуществить один </w:t>
      </w:r>
      <w:proofErr w:type="spellStart"/>
      <w:r>
        <w:rPr>
          <w:rFonts w:ascii="Liberation Sans" w:eastAsia="Times New Roman" w:hAnsi="Liberation Sans" w:cs="Times New Roman"/>
          <w:sz w:val="22"/>
          <w:szCs w:val="22"/>
        </w:rPr>
        <w:t>видеопроезд</w:t>
      </w:r>
      <w:proofErr w:type="spellEnd"/>
      <w:r>
        <w:rPr>
          <w:rFonts w:ascii="Liberation Sans" w:eastAsia="Times New Roman" w:hAnsi="Liberation Sans" w:cs="Times New Roman"/>
          <w:sz w:val="22"/>
          <w:szCs w:val="22"/>
        </w:rPr>
        <w:t>. Если же ширина дороги превышает указанный предел либо имеется разделительная полоса, требуется дополнительно выполнить съемку в противоположном направлении движения.</w:t>
      </w:r>
    </w:p>
    <w:p w14:paraId="38670446" w14:textId="77777777" w:rsidR="00EC44E8" w:rsidRDefault="000D3CEB">
      <w:pPr>
        <w:spacing w:line="276" w:lineRule="auto"/>
        <w:ind w:firstLine="850"/>
      </w:pPr>
      <w:r>
        <w:rPr>
          <w:rFonts w:ascii="Liberation Sans" w:eastAsia="Times New Roman" w:hAnsi="Liberation Sans" w:cs="Times New Roman"/>
          <w:sz w:val="22"/>
          <w:szCs w:val="22"/>
        </w:rPr>
        <w:t xml:space="preserve">Процесс съемки должен проводиться исключительно в дневное время при хорошей погоде. Записанные кадры обязаны быть свободны от любых цветовых искажений, </w:t>
      </w:r>
      <w:proofErr w:type="spellStart"/>
      <w:r>
        <w:rPr>
          <w:rFonts w:ascii="Liberation Sans" w:eastAsia="Times New Roman" w:hAnsi="Liberation Sans" w:cs="Times New Roman"/>
          <w:sz w:val="22"/>
          <w:szCs w:val="22"/>
        </w:rPr>
        <w:t>бликования</w:t>
      </w:r>
      <w:proofErr w:type="spellEnd"/>
      <w:r>
        <w:rPr>
          <w:rFonts w:ascii="Liberation Sans" w:eastAsia="Times New Roman" w:hAnsi="Liberation Sans" w:cs="Times New Roman"/>
          <w:sz w:val="22"/>
          <w:szCs w:val="22"/>
        </w:rPr>
        <w:t>, засвеченных зон и негативного влияния встречного солнечного света на качество изображения. Обеспечиваемое изображение должно гарантировать четкую визуализацию элементов инфраструктуры и дорожных сооружений. Изображения движущихся объектов на дороге также должны воспроизводиться без дефектов и деформаций.</w:t>
      </w:r>
    </w:p>
    <w:p w14:paraId="631BC1C0" w14:textId="77777777" w:rsidR="00EC44E8" w:rsidRDefault="000D3CEB">
      <w:pPr>
        <w:spacing w:line="276" w:lineRule="auto"/>
        <w:ind w:firstLine="850"/>
      </w:pPr>
      <w:r>
        <w:rPr>
          <w:rFonts w:ascii="Liberation Sans" w:eastAsia="Times New Roman" w:hAnsi="Liberation Sans" w:cs="Times New Roman"/>
          <w:sz w:val="22"/>
          <w:szCs w:val="22"/>
        </w:rPr>
        <w:t>Повышению точности измерений способствует одновременная фиксация GPS-данных высоких стандартов точности. Каждая зарегистрированная точка обязана точно отражать реальные географические координаты, сопоставленные с заранее выбранной системой координат плоскости.</w:t>
      </w:r>
    </w:p>
    <w:p w14:paraId="3AE4D82A" w14:textId="77777777" w:rsidR="00EC44E8" w:rsidRDefault="000D3CEB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Fonts w:ascii="Liberation Sans" w:eastAsia="Liberation Sans" w:hAnsi="Liberation Sans" w:cs="Liberation Sans"/>
          <w:sz w:val="22"/>
          <w:szCs w:val="22"/>
        </w:rPr>
        <w:t>Фотосъемка отдельных элементов дороги (пересечения, примыкания, водопропускные трубы, мосты и др.)</w:t>
      </w:r>
    </w:p>
    <w:p w14:paraId="78458EEF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8.2. Работы выполнять исправным оборудованием и приборами. Используемые при выполнении работ средства измерений должны соответствовать требованиям нормативных документов на методики выполнения измерений и испытаний, а также требованиям к их метрологическому обеспечению (обеспеченность средств измерений поверкой или калибровкой).</w:t>
      </w:r>
    </w:p>
    <w:p w14:paraId="1F895233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8.3. Передвижные дорожные лаборатории, используемые при проведении полевых работ по диагностике автомобильных дорог, должны быть оснащены бортовым навигационно-связным оборудованием, обеспечивающим возможность их подключения к автоматизированным отраслевым системам мониторинга, и позволяющим бесперебойно накапливать, хранить и передавать навигационные данные в течение всего периода проведения полевых работ.</w:t>
      </w:r>
    </w:p>
    <w:p w14:paraId="72232D3D" w14:textId="77777777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lastRenderedPageBreak/>
        <w:t>8.4.  Средства измерения должны иметь действующие Свидетельства о поверке. Средства измерения, не подлежащие государственному метрологическому контролю и надзору, должны быть калиброваны службами, аккредитованными в Госстандарте РФ на право проведения калибровочных работ. Калиброванные средства измерения должны быть удостоверены калибровочным знаком или Сертификатом о калибровке. Заказчик вправе потребовать предоставления данных документов.</w:t>
      </w:r>
    </w:p>
    <w:p w14:paraId="4A8B7EA3" w14:textId="77777777" w:rsidR="00EC44E8" w:rsidRDefault="000D3CEB">
      <w:pPr>
        <w:widowControl w:val="0"/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8.5. Номенклатура собираемых данных должна соответствовать номенклатуре автоматизированного банка данных Государственного заказчика</w:t>
      </w:r>
      <w:r>
        <w:rPr>
          <w:rFonts w:ascii="Liberation Sans" w:eastAsia="Liberation Sans" w:hAnsi="Liberation Sans" w:cs="Liberation Sans"/>
          <w:spacing w:val="-1"/>
          <w:sz w:val="22"/>
        </w:rPr>
        <w:t>.</w:t>
      </w:r>
    </w:p>
    <w:p w14:paraId="64860842" w14:textId="31155A87" w:rsidR="00EC44E8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8.6. Результаты работ по диагностике, паспортизации, оценке технического состояния автомобильных дорог, фото и видеоданные, пространственные дан</w:t>
      </w:r>
      <w:r w:rsidR="00EE6F67" w:rsidRPr="00EE6F67">
        <w:rPr>
          <w:rFonts w:ascii="Liberation Sans" w:eastAsia="Liberation Sans" w:hAnsi="Liberation Sans" w:cs="Liberation Sans"/>
          <w:sz w:val="22"/>
        </w:rPr>
        <w:t>ные, в соответствии с пунктом 7</w:t>
      </w:r>
      <w:r w:rsidRPr="00EE6F67">
        <w:rPr>
          <w:rFonts w:ascii="Liberation Sans" w:eastAsia="Liberation Sans" w:hAnsi="Liberation Sans" w:cs="Liberation Sans"/>
          <w:sz w:val="22"/>
        </w:rPr>
        <w:t xml:space="preserve"> настоящего Задания, вносятся в автоматизированный банк данных Государственного заказчика.</w:t>
      </w:r>
    </w:p>
    <w:p w14:paraId="2C8FA9DD" w14:textId="3D93A637" w:rsidR="00EC44E8" w:rsidRDefault="00EE6F67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8.7</w:t>
      </w:r>
      <w:r w:rsidR="000D3CEB">
        <w:rPr>
          <w:rFonts w:ascii="Liberation Sans" w:eastAsia="Liberation Sans" w:hAnsi="Liberation Sans" w:cs="Liberation Sans"/>
          <w:sz w:val="22"/>
        </w:rPr>
        <w:t xml:space="preserve">. Рассчитать и заполнить в паспортах автомобильных дорог раздел по </w:t>
      </w:r>
      <w:proofErr w:type="spellStart"/>
      <w:r w:rsidR="000D3CEB">
        <w:rPr>
          <w:rFonts w:ascii="Liberation Sans" w:eastAsia="Liberation Sans" w:hAnsi="Liberation Sans" w:cs="Liberation Sans"/>
          <w:sz w:val="22"/>
        </w:rPr>
        <w:t>снегозаносимым</w:t>
      </w:r>
      <w:proofErr w:type="spellEnd"/>
      <w:r w:rsidR="000D3CEB">
        <w:rPr>
          <w:rFonts w:ascii="Liberation Sans" w:eastAsia="Liberation Sans" w:hAnsi="Liberation Sans" w:cs="Liberation Sans"/>
          <w:sz w:val="22"/>
        </w:rPr>
        <w:t xml:space="preserve"> участкам.</w:t>
      </w:r>
    </w:p>
    <w:p w14:paraId="1E745FE6" w14:textId="129A9A37" w:rsidR="00EC44E8" w:rsidRDefault="00EE6F67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8.8</w:t>
      </w:r>
      <w:r w:rsidR="000D3CEB">
        <w:rPr>
          <w:rFonts w:ascii="Liberation Sans" w:eastAsia="Liberation Sans" w:hAnsi="Liberation Sans" w:cs="Liberation Sans"/>
          <w:sz w:val="22"/>
        </w:rPr>
        <w:t>. Внести в разделы паспортов автомобильных дорог информацию, отражающую многолетние наблюдения за предыдущие года.</w:t>
      </w:r>
    </w:p>
    <w:p w14:paraId="718FC182" w14:textId="77777777" w:rsidR="00EC44E8" w:rsidRDefault="00EC44E8">
      <w:pPr>
        <w:spacing w:line="276" w:lineRule="auto"/>
        <w:ind w:firstLine="709"/>
        <w:jc w:val="both"/>
        <w:rPr>
          <w:rFonts w:ascii="Liberation Sans" w:hAnsi="Liberation Sans" w:cs="Liberation Sans"/>
          <w:sz w:val="22"/>
        </w:rPr>
      </w:pPr>
    </w:p>
    <w:p w14:paraId="32FF98F4" w14:textId="77777777" w:rsidR="00EC44E8" w:rsidRDefault="000D3CEB">
      <w:pPr>
        <w:spacing w:line="276" w:lineRule="auto"/>
        <w:ind w:firstLine="567"/>
        <w:jc w:val="both"/>
      </w:pPr>
      <w:r>
        <w:rPr>
          <w:rFonts w:ascii="Liberation Sans" w:eastAsia="Liberation Sans" w:hAnsi="Liberation Sans" w:cs="Liberation Sans"/>
          <w:b/>
          <w:sz w:val="22"/>
        </w:rPr>
        <w:t xml:space="preserve">  9.  Конечный продукт: </w:t>
      </w:r>
    </w:p>
    <w:p w14:paraId="129BA4E1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9.1. Отчеты по диагностике и оценке технического состояния автомобильных дорог и приложения к отчету - 2 экз. + CD-ROM с электронным видом документа (формат файла с возможностью редактирования документа), включающие в себя:</w:t>
      </w:r>
    </w:p>
    <w:p w14:paraId="78111637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заключение о соответствии автомобильной дороги нормативным требованиям;</w:t>
      </w:r>
    </w:p>
    <w:p w14:paraId="428E2AF3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ведомости участков автомобильной дороги, не соответствующих нормативным требованиям;</w:t>
      </w:r>
    </w:p>
    <w:p w14:paraId="63128690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сводную ведомость рекомендуемых работ (мероприятий по приведению автомобильных дорог к нормативным требованиям);</w:t>
      </w:r>
    </w:p>
    <w:p w14:paraId="58C13DCB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сводной ведомости комплексной оценки основных транспортно-эксплуатационных показателей по участкам автомобильной дороги;</w:t>
      </w:r>
    </w:p>
    <w:p w14:paraId="086C7BC7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ведомости транспортно-эксплуатационных показателей автомобильной дороги с заключением по соответствию нормативным требованиям;</w:t>
      </w:r>
    </w:p>
    <w:p w14:paraId="44D52B67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ведомости искусственных сооружений с дефектами и заключением по состоянию сооружения;</w:t>
      </w:r>
    </w:p>
    <w:p w14:paraId="40EEEB67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ведомости элементов обустройства с параметрами и заключением по состоянию объекта;</w:t>
      </w:r>
    </w:p>
    <w:p w14:paraId="28C9B838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ведомости оценки пропускной способности, загрузки движением транспортом автомобильной дороги, средней скорости транспортного потока;</w:t>
      </w:r>
    </w:p>
    <w:p w14:paraId="5DAD021A" w14:textId="77777777" w:rsidR="00EC44E8" w:rsidRPr="00EE6F67" w:rsidRDefault="000D3CEB">
      <w:pPr>
        <w:widowControl w:val="0"/>
        <w:spacing w:line="276" w:lineRule="auto"/>
        <w:ind w:left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графики транспортно-эксплуатационного состояния (ТЭС);</w:t>
      </w:r>
    </w:p>
    <w:p w14:paraId="51367D68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графики показателя ровности, коэффициента сцепления, модуля упругости, коэффициентов аварийности, пропускной способности дороги.</w:t>
      </w:r>
    </w:p>
    <w:p w14:paraId="3275D014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9.2. Отчеты по определению расчетных нагрузок и допустимых осевых нагрузок в весенний период, в том числе мостовые сооружения - 2 экз. + CD-ROM с электронным видом документа (формат файла с возможностью редактирования документа), включающего в себя:</w:t>
      </w:r>
    </w:p>
    <w:p w14:paraId="6CBC6C2D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рекомендации по ограничению движения на характерных участках автомобильной дороги;</w:t>
      </w:r>
    </w:p>
    <w:p w14:paraId="138EDD2E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сводные таблицы по ограничению движения на перегонах дорожной сети ЯНАО, для расчетных и допустимых в весенний период нагрузок;</w:t>
      </w:r>
    </w:p>
    <w:p w14:paraId="6AC7F7AA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- сводные таблицы по ограничению движения на перегонах опорной сети автомобильных дорог ЯНАО, для расчетных и допустимых в весенний период нагрузок.</w:t>
      </w:r>
    </w:p>
    <w:p w14:paraId="14751951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 xml:space="preserve">9.3. Ведомости по определению расчетных нагрузок и допустимых осевых нагрузок в весенний период, в том числе мостовые сооружения - 2 экз. + CD-ROM с электронным видом документа (формат файла </w:t>
      </w:r>
      <w:r w:rsidRPr="00EE6F67">
        <w:rPr>
          <w:rFonts w:ascii="Liberation Sans" w:eastAsia="Liberation Sans" w:hAnsi="Liberation Sans" w:cs="Liberation Sans"/>
          <w:b/>
          <w:sz w:val="22"/>
        </w:rPr>
        <w:t>«</w:t>
      </w:r>
      <w:r w:rsidRPr="00EE6F67">
        <w:rPr>
          <w:rFonts w:ascii="Liberation Sans" w:eastAsia="Liberation Sans" w:hAnsi="Liberation Sans" w:cs="Liberation Sans"/>
          <w:b/>
          <w:lang w:val="en-US"/>
        </w:rPr>
        <w:t>XLSX</w:t>
      </w:r>
      <w:r w:rsidRPr="00EE6F67">
        <w:rPr>
          <w:rFonts w:ascii="Liberation Sans" w:eastAsia="Liberation Sans" w:hAnsi="Liberation Sans" w:cs="Liberation Sans"/>
          <w:b/>
        </w:rPr>
        <w:t>»</w:t>
      </w:r>
      <w:r w:rsidRPr="00EE6F67">
        <w:rPr>
          <w:rFonts w:ascii="Liberation Sans" w:eastAsia="Liberation Sans" w:hAnsi="Liberation Sans" w:cs="Liberation Sans"/>
          <w:sz w:val="22"/>
        </w:rPr>
        <w:t xml:space="preserve"> с возможностью редактирования документа).).</w:t>
      </w:r>
    </w:p>
    <w:p w14:paraId="6B58E2E8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lastRenderedPageBreak/>
        <w:t>9.4. Паспорта на автомобильные дороги 2 экз. + CD-ROM с электронным видом документа (формат файла с возможностью редактирования документа).</w:t>
      </w:r>
    </w:p>
    <w:p w14:paraId="4C05DE1C" w14:textId="77777777" w:rsidR="00EC44E8" w:rsidRPr="00EE6F67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 xml:space="preserve">9.5. </w:t>
      </w:r>
      <w:proofErr w:type="spellStart"/>
      <w:r w:rsidRPr="00EE6F67">
        <w:rPr>
          <w:rFonts w:ascii="Liberation Sans" w:eastAsia="Liberation Sans" w:hAnsi="Liberation Sans" w:cs="Liberation Sans"/>
          <w:sz w:val="22"/>
        </w:rPr>
        <w:t>Видеобанк</w:t>
      </w:r>
      <w:proofErr w:type="spellEnd"/>
      <w:r w:rsidRPr="00EE6F67">
        <w:rPr>
          <w:rFonts w:ascii="Liberation Sans" w:eastAsia="Liberation Sans" w:hAnsi="Liberation Sans" w:cs="Liberation Sans"/>
          <w:sz w:val="22"/>
        </w:rPr>
        <w:t xml:space="preserve"> дорожных данных.</w:t>
      </w:r>
    </w:p>
    <w:p w14:paraId="1826AD85" w14:textId="495D389B" w:rsidR="00EC44E8" w:rsidRDefault="000D3CEB">
      <w:pPr>
        <w:spacing w:line="276" w:lineRule="auto"/>
        <w:ind w:firstLine="709"/>
        <w:jc w:val="both"/>
      </w:pPr>
      <w:r w:rsidRPr="00EE6F67">
        <w:rPr>
          <w:rFonts w:ascii="Liberation Sans" w:eastAsia="Liberation Sans" w:hAnsi="Liberation Sans" w:cs="Liberation Sans"/>
          <w:sz w:val="22"/>
        </w:rPr>
        <w:t>9.6. Информационно-аналитическая база данных с результатами выполнения работ</w:t>
      </w:r>
      <w:r w:rsidRPr="00EE6F67">
        <w:rPr>
          <w:rFonts w:ascii="Liberation Sans" w:eastAsia="Liberation Sans" w:hAnsi="Liberation Sans" w:cs="Liberation Sans"/>
        </w:rPr>
        <w:t xml:space="preserve"> </w:t>
      </w:r>
      <w:r w:rsidRPr="00EE6F67">
        <w:rPr>
          <w:rFonts w:ascii="Liberation Sans" w:eastAsia="Liberation Sans" w:hAnsi="Liberation Sans" w:cs="Liberation Sans"/>
          <w:sz w:val="22"/>
        </w:rPr>
        <w:t>в</w:t>
      </w:r>
      <w:r w:rsidR="00EE6F67">
        <w:rPr>
          <w:rFonts w:ascii="Liberation Sans" w:eastAsia="Liberation Sans" w:hAnsi="Liberation Sans" w:cs="Liberation Sans"/>
          <w:sz w:val="22"/>
        </w:rPr>
        <w:t xml:space="preserve"> соответствии с пунктами 8</w:t>
      </w:r>
      <w:r w:rsidRPr="00EE6F67">
        <w:rPr>
          <w:rFonts w:ascii="Liberation Sans" w:eastAsia="Liberation Sans" w:hAnsi="Liberation Sans" w:cs="Liberation Sans"/>
          <w:sz w:val="22"/>
        </w:rPr>
        <w:t>.6</w:t>
      </w:r>
      <w:r w:rsidR="00EE6F67">
        <w:rPr>
          <w:rFonts w:ascii="Liberation Sans" w:eastAsia="Liberation Sans" w:hAnsi="Liberation Sans" w:cs="Liberation Sans"/>
          <w:sz w:val="22"/>
        </w:rPr>
        <w:t xml:space="preserve"> </w:t>
      </w:r>
      <w:r w:rsidRPr="00EE6F67">
        <w:rPr>
          <w:rFonts w:ascii="Liberation Sans" w:eastAsia="Liberation Sans" w:hAnsi="Liberation Sans" w:cs="Liberation Sans"/>
          <w:sz w:val="22"/>
        </w:rPr>
        <w:t>настоящего Задания.</w:t>
      </w:r>
    </w:p>
    <w:p w14:paraId="645EB6CA" w14:textId="57967C06" w:rsidR="00EC44E8" w:rsidRPr="00EE6F67" w:rsidRDefault="00EE6F67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9.7</w:t>
      </w:r>
      <w:r w:rsidR="000D3CEB" w:rsidRPr="00EE6F67">
        <w:rPr>
          <w:rFonts w:ascii="Liberation Sans" w:eastAsia="Liberation Sans" w:hAnsi="Liberation Sans" w:cs="Liberation Sans"/>
          <w:sz w:val="22"/>
        </w:rPr>
        <w:t xml:space="preserve">. Ведомости, с указанием наличия освещения, разметки, дорожных знаков и светофоров с указанием </w:t>
      </w:r>
      <w:proofErr w:type="spellStart"/>
      <w:r w:rsidR="000D3CEB" w:rsidRPr="00EE6F67">
        <w:rPr>
          <w:rFonts w:ascii="Liberation Sans" w:eastAsia="Liberation Sans" w:hAnsi="Liberation Sans" w:cs="Liberation Sans"/>
          <w:sz w:val="22"/>
        </w:rPr>
        <w:t>геокоординат</w:t>
      </w:r>
      <w:proofErr w:type="spellEnd"/>
      <w:r w:rsidR="000D3CEB" w:rsidRPr="00EE6F67">
        <w:rPr>
          <w:rFonts w:ascii="Liberation Sans" w:eastAsia="Liberation Sans" w:hAnsi="Liberation Sans" w:cs="Liberation Sans"/>
          <w:sz w:val="22"/>
        </w:rPr>
        <w:t xml:space="preserve"> в установленной форме согласно приложениям №№1.1- 1.4 к Заданию в формате XLSX.</w:t>
      </w:r>
    </w:p>
    <w:p w14:paraId="2097417F" w14:textId="350542B3" w:rsidR="00EC44E8" w:rsidRPr="00EE6F67" w:rsidRDefault="00EE6F67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9.8</w:t>
      </w:r>
      <w:r w:rsidR="000D3CEB" w:rsidRPr="00EE6F67">
        <w:rPr>
          <w:rFonts w:ascii="Liberation Sans" w:eastAsia="Liberation Sans" w:hAnsi="Liberation Sans" w:cs="Liberation Sans"/>
          <w:sz w:val="22"/>
        </w:rPr>
        <w:t>. Сводная ведомость детализации автомобильных дорог в формате XLSX (Приложение к Заданию №1).</w:t>
      </w:r>
    </w:p>
    <w:p w14:paraId="65B85E01" w14:textId="2508E28C" w:rsidR="00EC44E8" w:rsidRPr="00EE6F67" w:rsidRDefault="00EE6F67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9.9</w:t>
      </w:r>
      <w:r w:rsidR="000D3CEB" w:rsidRPr="00EE6F67">
        <w:rPr>
          <w:rFonts w:ascii="Liberation Sans" w:eastAsia="Liberation Sans" w:hAnsi="Liberation Sans" w:cs="Liberation Sans"/>
          <w:sz w:val="22"/>
        </w:rPr>
        <w:t xml:space="preserve">. Шаблоны (Коэффициент сцепления, Наличие дефектов по ГОСТ Р 50597-2017, Наличие дефектов по ОДМ 218.4.039-2018, Поперечная ровность (колейность), Продольная ровность покрытия, Продольные уклоны, Прочность дорожной одежды, Радиусы кривых в плане) для загрузки данных в Федеральную государственную информационную систему контроля за формированием и использованием средств дорожных фондов в установленной форме согласно приложению № 1.5 к Заданию (формат файла </w:t>
      </w:r>
      <w:r w:rsidR="000D3CEB" w:rsidRPr="00EE6F67">
        <w:rPr>
          <w:rFonts w:ascii="Liberation Sans" w:eastAsia="Liberation Sans" w:hAnsi="Liberation Sans" w:cs="Liberation Sans"/>
          <w:b/>
          <w:sz w:val="22"/>
        </w:rPr>
        <w:t>«</w:t>
      </w:r>
      <w:r w:rsidR="000D3CEB" w:rsidRPr="00EE6F67">
        <w:rPr>
          <w:rFonts w:ascii="Liberation Sans" w:eastAsia="Liberation Sans" w:hAnsi="Liberation Sans" w:cs="Liberation Sans"/>
          <w:b/>
          <w:sz w:val="22"/>
          <w:lang w:val="en-US"/>
        </w:rPr>
        <w:t>XLSX</w:t>
      </w:r>
      <w:r w:rsidR="000D3CEB" w:rsidRPr="00EE6F67">
        <w:rPr>
          <w:rFonts w:ascii="Liberation Sans" w:eastAsia="Liberation Sans" w:hAnsi="Liberation Sans" w:cs="Liberation Sans"/>
          <w:b/>
          <w:sz w:val="22"/>
        </w:rPr>
        <w:t>»</w:t>
      </w:r>
      <w:r w:rsidR="000D3CEB" w:rsidRPr="00EE6F67">
        <w:rPr>
          <w:rFonts w:ascii="Liberation Sans" w:eastAsia="Liberation Sans" w:hAnsi="Liberation Sans" w:cs="Liberation Sans"/>
          <w:sz w:val="22"/>
        </w:rPr>
        <w:t xml:space="preserve"> с возможностью редактирования документа). </w:t>
      </w:r>
    </w:p>
    <w:p w14:paraId="6CFB4765" w14:textId="5BF112DF" w:rsidR="00EC44E8" w:rsidRPr="00EE6F67" w:rsidRDefault="00EE6F67">
      <w:pPr>
        <w:spacing w:line="276" w:lineRule="auto"/>
        <w:ind w:firstLine="709"/>
        <w:jc w:val="both"/>
        <w:rPr>
          <w:rFonts w:ascii="Liberation Sans" w:eastAsia="Liberation Sans" w:hAnsi="Liberation Sans" w:cs="Liberation Sans"/>
          <w:sz w:val="22"/>
          <w:szCs w:val="22"/>
        </w:rPr>
      </w:pPr>
      <w:r>
        <w:rPr>
          <w:rFonts w:ascii="Liberation Sans" w:eastAsia="Liberation Sans" w:hAnsi="Liberation Sans" w:cs="Liberation Sans"/>
          <w:sz w:val="22"/>
        </w:rPr>
        <w:t>9.10</w:t>
      </w:r>
      <w:r w:rsidR="000D3CEB" w:rsidRPr="00EE6F67">
        <w:rPr>
          <w:rFonts w:ascii="Liberation Sans" w:eastAsia="Liberation Sans" w:hAnsi="Liberation Sans" w:cs="Liberation Sans"/>
          <w:sz w:val="22"/>
        </w:rPr>
        <w:t xml:space="preserve">. Классифицированные облака точек лазерного сканирования в формате </w:t>
      </w:r>
      <w:r w:rsidR="000D3CEB" w:rsidRPr="00EE6F67">
        <w:rPr>
          <w:rFonts w:ascii="Liberation Sans" w:eastAsia="Liberation Sans" w:hAnsi="Liberation Sans" w:cs="Liberation Sans"/>
          <w:sz w:val="22"/>
          <w:lang w:val="en-US"/>
        </w:rPr>
        <w:t>LAS</w:t>
      </w:r>
      <w:r w:rsidR="000D3CEB" w:rsidRPr="00EE6F67">
        <w:rPr>
          <w:rFonts w:ascii="Liberation Sans" w:eastAsia="Liberation Sans" w:hAnsi="Liberation Sans" w:cs="Liberation Sans"/>
          <w:sz w:val="22"/>
        </w:rPr>
        <w:t>.</w:t>
      </w:r>
    </w:p>
    <w:p w14:paraId="7EEED145" w14:textId="743CB155" w:rsidR="00EC44E8" w:rsidRDefault="00EE6F67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9.11</w:t>
      </w:r>
      <w:r w:rsidR="000D3CEB" w:rsidRPr="00EE6F67">
        <w:rPr>
          <w:rFonts w:ascii="Liberation Sans" w:eastAsia="Liberation Sans" w:hAnsi="Liberation Sans" w:cs="Liberation Sans"/>
          <w:sz w:val="22"/>
        </w:rPr>
        <w:t>. Актуализированная цифровая модель автомобильной дороги созданная на основе данных мобильного лазерного сканирования и данных при проведении диагностики, паспортизации, оценке технического состояния сети автомобильных дорог.</w:t>
      </w:r>
    </w:p>
    <w:p w14:paraId="2ADF2D58" w14:textId="77777777" w:rsidR="00EC44E8" w:rsidRDefault="00EC44E8">
      <w:pPr>
        <w:spacing w:line="276" w:lineRule="auto"/>
        <w:ind w:firstLine="709"/>
        <w:jc w:val="both"/>
        <w:rPr>
          <w:rFonts w:ascii="Liberation Sans" w:hAnsi="Liberation Sans" w:cs="Liberation Sans"/>
          <w:b/>
          <w:sz w:val="22"/>
        </w:rPr>
      </w:pPr>
    </w:p>
    <w:p w14:paraId="4EDB4463" w14:textId="77777777" w:rsidR="00EC44E8" w:rsidRDefault="000D3CEB">
      <w:pPr>
        <w:spacing w:line="276" w:lineRule="auto"/>
        <w:ind w:firstLine="567"/>
        <w:jc w:val="both"/>
      </w:pPr>
      <w:r>
        <w:rPr>
          <w:rFonts w:ascii="Liberation Sans" w:eastAsia="Liberation Sans" w:hAnsi="Liberation Sans" w:cs="Liberation Sans"/>
          <w:b/>
          <w:sz w:val="22"/>
        </w:rPr>
        <w:t xml:space="preserve">  10.  Условия приемки работ: </w:t>
      </w:r>
    </w:p>
    <w:p w14:paraId="4CDB6560" w14:textId="72A20C10" w:rsidR="00EC44E8" w:rsidRDefault="000D3CEB">
      <w:pPr>
        <w:spacing w:line="276" w:lineRule="auto"/>
        <w:ind w:firstLine="709"/>
        <w:jc w:val="both"/>
      </w:pPr>
      <w:r>
        <w:rPr>
          <w:rFonts w:ascii="Liberation Sans" w:eastAsia="Liberation Sans" w:hAnsi="Liberation Sans" w:cs="Liberation Sans"/>
          <w:sz w:val="22"/>
        </w:rPr>
        <w:t>Передача Заказчику оформленных в установленном порядке результатов выполне</w:t>
      </w:r>
      <w:r w:rsidR="00EE6F67">
        <w:rPr>
          <w:rFonts w:ascii="Liberation Sans" w:eastAsia="Liberation Sans" w:hAnsi="Liberation Sans" w:cs="Liberation Sans"/>
          <w:sz w:val="22"/>
        </w:rPr>
        <w:t>ния работ в соответствии с п. 8</w:t>
      </w:r>
      <w:r>
        <w:rPr>
          <w:rFonts w:ascii="Liberation Sans" w:eastAsia="Liberation Sans" w:hAnsi="Liberation Sans" w:cs="Liberation Sans"/>
          <w:sz w:val="22"/>
        </w:rPr>
        <w:t>, осуществляется сопроводительными документами Исполнителя.</w:t>
      </w:r>
    </w:p>
    <w:p w14:paraId="17CD04CB" w14:textId="77777777" w:rsidR="00EC44E8" w:rsidRDefault="00EC44E8">
      <w:pPr>
        <w:spacing w:line="276" w:lineRule="auto"/>
        <w:jc w:val="both"/>
        <w:rPr>
          <w:rFonts w:ascii="Liberation Sans" w:hAnsi="Liberation Sans" w:cs="Liberation Sans"/>
          <w:sz w:val="22"/>
        </w:rPr>
      </w:pPr>
    </w:p>
    <w:p w14:paraId="2F3DAF52" w14:textId="77777777" w:rsidR="00EC44E8" w:rsidRDefault="000D3CEB">
      <w:pPr>
        <w:spacing w:line="276" w:lineRule="auto"/>
        <w:ind w:firstLine="567"/>
        <w:jc w:val="both"/>
      </w:pPr>
      <w:r>
        <w:rPr>
          <w:rFonts w:ascii="Liberation Sans" w:eastAsia="Liberation Sans" w:hAnsi="Liberation Sans" w:cs="Liberation Sans"/>
          <w:b/>
          <w:sz w:val="22"/>
        </w:rPr>
        <w:t xml:space="preserve">  11.  Срок выполнения работ:</w:t>
      </w:r>
      <w:r>
        <w:rPr>
          <w:rFonts w:ascii="Liberation Sans" w:eastAsia="Liberation Sans" w:hAnsi="Liberation Sans" w:cs="Liberation Sans"/>
          <w:sz w:val="22"/>
        </w:rPr>
        <w:t xml:space="preserve"> </w:t>
      </w:r>
    </w:p>
    <w:p w14:paraId="6C7BB2E1" w14:textId="77777777" w:rsidR="00EC44E8" w:rsidRDefault="000D3CEB">
      <w:pPr>
        <w:keepLines/>
        <w:spacing w:line="276" w:lineRule="auto"/>
        <w:ind w:firstLine="709"/>
      </w:pPr>
      <w:r>
        <w:rPr>
          <w:rFonts w:ascii="Liberation Sans" w:eastAsia="Liberation Sans" w:hAnsi="Liberation Sans" w:cs="Liberation Sans"/>
          <w:sz w:val="22"/>
        </w:rPr>
        <w:t>Начало выполнения работ – с даты заключения контратака.</w:t>
      </w:r>
    </w:p>
    <w:p w14:paraId="608A56A0" w14:textId="77777777" w:rsidR="00EC44E8" w:rsidRDefault="000D3CEB">
      <w:pPr>
        <w:keepLines/>
        <w:spacing w:line="276" w:lineRule="auto"/>
        <w:ind w:firstLine="709"/>
      </w:pPr>
      <w:r>
        <w:rPr>
          <w:rFonts w:ascii="Liberation Sans" w:eastAsia="Liberation Sans" w:hAnsi="Liberation Sans" w:cs="Liberation Sans"/>
          <w:sz w:val="22"/>
        </w:rPr>
        <w:t>Оценка ровности покрытия и состояния дорожной одежды: не ранее 30.09.2026.</w:t>
      </w:r>
    </w:p>
    <w:p w14:paraId="362A1FC0" w14:textId="77777777" w:rsidR="00EC44E8" w:rsidRDefault="000D3CEB">
      <w:pPr>
        <w:keepLines/>
        <w:widowControl w:val="0"/>
        <w:spacing w:line="276" w:lineRule="auto"/>
        <w:ind w:right="-22" w:firstLine="709"/>
        <w:jc w:val="both"/>
      </w:pPr>
      <w:r>
        <w:rPr>
          <w:rFonts w:ascii="Liberation Sans" w:eastAsia="Liberation Sans" w:hAnsi="Liberation Sans" w:cs="Liberation Sans"/>
          <w:sz w:val="22"/>
        </w:rPr>
        <w:t>Срок окончания выполнения работ: по 27.11.2026.</w:t>
      </w:r>
    </w:p>
    <w:p w14:paraId="0910EA9C" w14:textId="77777777" w:rsidR="00EC44E8" w:rsidRDefault="00EC44E8">
      <w:pPr>
        <w:spacing w:line="276" w:lineRule="auto"/>
        <w:ind w:right="-365" w:firstLine="709"/>
        <w:rPr>
          <w:rFonts w:ascii="Liberation Sans" w:hAnsi="Liberation Sans" w:cs="Liberation Sans"/>
          <w:sz w:val="22"/>
        </w:rPr>
      </w:pPr>
    </w:p>
    <w:p w14:paraId="69051EB0" w14:textId="77777777" w:rsidR="00EC44E8" w:rsidRDefault="000D3CEB">
      <w:pPr>
        <w:spacing w:line="276" w:lineRule="auto"/>
        <w:ind w:right="-365" w:firstLine="709"/>
      </w:pPr>
      <w:r>
        <w:rPr>
          <w:rFonts w:ascii="Liberation Sans" w:eastAsia="Liberation Sans" w:hAnsi="Liberation Sans" w:cs="Liberation Sans"/>
          <w:b/>
          <w:sz w:val="22"/>
        </w:rPr>
        <w:t>Примечание:</w:t>
      </w:r>
      <w:r>
        <w:rPr>
          <w:rFonts w:ascii="Liberation Sans" w:eastAsia="Liberation Sans" w:hAnsi="Liberation Sans" w:cs="Liberation Sans"/>
          <w:sz w:val="22"/>
        </w:rPr>
        <w:t xml:space="preserve"> получить дополнительную информацию, а также ознакомиться с исходными данными можно в отделе технического надзора за содержанием и ремонтом автомобильных дорог. </w:t>
      </w:r>
      <w:r>
        <w:rPr>
          <w:rFonts w:ascii="Liberation Sans" w:eastAsia="Liberation Sans" w:hAnsi="Liberation Sans" w:cs="Liberation Sans"/>
          <w:sz w:val="22"/>
        </w:rPr>
        <w:br/>
        <w:t>ГКУ «Дорожная дирекция ЯНАО», тел. 8 (34922) 71-6-74, 8 (34922) 71-6-75, 8 (34922) 71-6-78, 8 (34922) 71-7-87, 8 (34922) 7-17-85.</w:t>
      </w:r>
    </w:p>
    <w:p w14:paraId="047732BD" w14:textId="77777777" w:rsidR="00EC44E8" w:rsidRDefault="00EC44E8">
      <w:pPr>
        <w:spacing w:line="276" w:lineRule="auto"/>
        <w:ind w:right="-365" w:firstLine="709"/>
        <w:rPr>
          <w:rFonts w:ascii="Liberation Sans" w:hAnsi="Liberation Sans" w:cs="Liberation Sans"/>
          <w:sz w:val="22"/>
        </w:rPr>
      </w:pPr>
    </w:p>
    <w:p w14:paraId="1D262578" w14:textId="77777777" w:rsidR="00EC44E8" w:rsidRDefault="00EC44E8">
      <w:pPr>
        <w:spacing w:line="276" w:lineRule="auto"/>
        <w:ind w:right="-365" w:firstLine="709"/>
      </w:pPr>
    </w:p>
    <w:sectPr w:rsidR="00EC44E8">
      <w:pgSz w:w="11906" w:h="16838"/>
      <w:pgMar w:top="850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Droid Sans">
    <w:altName w:val="Segoe UI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C09"/>
    <w:multiLevelType w:val="hybridMultilevel"/>
    <w:tmpl w:val="5DD87BAA"/>
    <w:name w:val="Нумерованный список 6"/>
    <w:lvl w:ilvl="0" w:tplc="C77467A6">
      <w:numFmt w:val="bullet"/>
      <w:lvlText w:val="·"/>
      <w:lvlJc w:val="left"/>
      <w:pPr>
        <w:ind w:left="360" w:firstLine="0"/>
      </w:pPr>
      <w:rPr>
        <w:rFonts w:ascii="Symbol" w:hAnsi="Symbol" w:cs="Symbol"/>
      </w:rPr>
    </w:lvl>
    <w:lvl w:ilvl="1" w:tplc="B20AB42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D64D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3A82FF4">
      <w:numFmt w:val="bullet"/>
      <w:lvlText w:val="·"/>
      <w:lvlJc w:val="left"/>
      <w:pPr>
        <w:ind w:left="2520" w:firstLine="0"/>
      </w:pPr>
      <w:rPr>
        <w:rFonts w:ascii="Symbol" w:hAnsi="Symbol" w:cs="Symbol"/>
      </w:rPr>
    </w:lvl>
    <w:lvl w:ilvl="4" w:tplc="05B43F1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AB8B2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018C358">
      <w:numFmt w:val="bullet"/>
      <w:lvlText w:val="·"/>
      <w:lvlJc w:val="left"/>
      <w:pPr>
        <w:ind w:left="4680" w:firstLine="0"/>
      </w:pPr>
      <w:rPr>
        <w:rFonts w:ascii="Symbol" w:hAnsi="Symbol" w:cs="Symbol"/>
      </w:rPr>
    </w:lvl>
    <w:lvl w:ilvl="7" w:tplc="BF50EEC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280E0F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113146A2"/>
    <w:multiLevelType w:val="hybridMultilevel"/>
    <w:tmpl w:val="E43A42BC"/>
    <w:name w:val="Нумерованный список 11"/>
    <w:lvl w:ilvl="0" w:tplc="997CA4B0">
      <w:numFmt w:val="bullet"/>
      <w:lvlText w:val="·"/>
      <w:lvlJc w:val="left"/>
      <w:pPr>
        <w:ind w:left="1069" w:firstLine="0"/>
      </w:pPr>
      <w:rPr>
        <w:rFonts w:ascii="Symbol" w:eastAsia="Symbol" w:hAnsi="Symbol" w:cs="Symbol"/>
      </w:rPr>
    </w:lvl>
    <w:lvl w:ilvl="1" w:tplc="9E26BE98">
      <w:numFmt w:val="bullet"/>
      <w:lvlText w:val="o"/>
      <w:lvlJc w:val="left"/>
      <w:pPr>
        <w:ind w:left="1789" w:firstLine="0"/>
      </w:pPr>
      <w:rPr>
        <w:rFonts w:ascii="Courier New" w:eastAsia="Courier New" w:hAnsi="Courier New" w:cs="Courier New"/>
      </w:rPr>
    </w:lvl>
    <w:lvl w:ilvl="2" w:tplc="569856CA">
      <w:numFmt w:val="bullet"/>
      <w:lvlText w:val="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0EB45676">
      <w:numFmt w:val="bullet"/>
      <w:lvlText w:val="·"/>
      <w:lvlJc w:val="left"/>
      <w:pPr>
        <w:ind w:left="3229" w:firstLine="0"/>
      </w:pPr>
      <w:rPr>
        <w:rFonts w:ascii="Symbol" w:eastAsia="Symbol" w:hAnsi="Symbol" w:cs="Symbol"/>
      </w:rPr>
    </w:lvl>
    <w:lvl w:ilvl="4" w:tplc="888CFFD2">
      <w:numFmt w:val="bullet"/>
      <w:lvlText w:val="o"/>
      <w:lvlJc w:val="left"/>
      <w:pPr>
        <w:ind w:left="3949" w:firstLine="0"/>
      </w:pPr>
      <w:rPr>
        <w:rFonts w:ascii="Courier New" w:eastAsia="Courier New" w:hAnsi="Courier New" w:cs="Courier New"/>
      </w:rPr>
    </w:lvl>
    <w:lvl w:ilvl="5" w:tplc="E3BE9886">
      <w:numFmt w:val="bullet"/>
      <w:lvlText w:val="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B9F8D81A">
      <w:numFmt w:val="bullet"/>
      <w:lvlText w:val="·"/>
      <w:lvlJc w:val="left"/>
      <w:pPr>
        <w:ind w:left="5389" w:firstLine="0"/>
      </w:pPr>
      <w:rPr>
        <w:rFonts w:ascii="Symbol" w:eastAsia="Symbol" w:hAnsi="Symbol" w:cs="Symbol"/>
      </w:rPr>
    </w:lvl>
    <w:lvl w:ilvl="7" w:tplc="0102E79E">
      <w:numFmt w:val="bullet"/>
      <w:lvlText w:val="o"/>
      <w:lvlJc w:val="left"/>
      <w:pPr>
        <w:ind w:left="6109" w:firstLine="0"/>
      </w:pPr>
      <w:rPr>
        <w:rFonts w:ascii="Courier New" w:eastAsia="Courier New" w:hAnsi="Courier New" w:cs="Courier New"/>
      </w:rPr>
    </w:lvl>
    <w:lvl w:ilvl="8" w:tplc="1C8EF970">
      <w:numFmt w:val="bullet"/>
      <w:lvlText w:val="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53418DF"/>
    <w:multiLevelType w:val="hybridMultilevel"/>
    <w:tmpl w:val="93222A94"/>
    <w:name w:val="Нумерованный список 2"/>
    <w:lvl w:ilvl="0" w:tplc="BCA23A68">
      <w:start w:val="1"/>
      <w:numFmt w:val="decimal"/>
      <w:lvlText w:val="%1."/>
      <w:lvlJc w:val="left"/>
      <w:pPr>
        <w:ind w:left="426" w:firstLine="0"/>
      </w:pPr>
      <w:rPr>
        <w:b/>
        <w:sz w:val="22"/>
      </w:rPr>
    </w:lvl>
    <w:lvl w:ilvl="1" w:tplc="0E9E3BAC">
      <w:start w:val="1"/>
      <w:numFmt w:val="lowerLetter"/>
      <w:lvlText w:val="%2."/>
      <w:lvlJc w:val="left"/>
      <w:pPr>
        <w:ind w:left="1146" w:firstLine="0"/>
      </w:pPr>
    </w:lvl>
    <w:lvl w:ilvl="2" w:tplc="7E087D10">
      <w:start w:val="1"/>
      <w:numFmt w:val="lowerRoman"/>
      <w:lvlText w:val="%3."/>
      <w:lvlJc w:val="right"/>
      <w:pPr>
        <w:ind w:left="2046" w:firstLine="0"/>
      </w:pPr>
    </w:lvl>
    <w:lvl w:ilvl="3" w:tplc="70DAB8D8">
      <w:start w:val="1"/>
      <w:numFmt w:val="decimal"/>
      <w:lvlText w:val="%4."/>
      <w:lvlJc w:val="left"/>
      <w:pPr>
        <w:ind w:left="2586" w:firstLine="0"/>
      </w:pPr>
    </w:lvl>
    <w:lvl w:ilvl="4" w:tplc="A5DEABDA">
      <w:start w:val="1"/>
      <w:numFmt w:val="lowerLetter"/>
      <w:lvlText w:val="%5."/>
      <w:lvlJc w:val="left"/>
      <w:pPr>
        <w:ind w:left="3306" w:firstLine="0"/>
      </w:pPr>
    </w:lvl>
    <w:lvl w:ilvl="5" w:tplc="41361998">
      <w:start w:val="1"/>
      <w:numFmt w:val="lowerRoman"/>
      <w:lvlText w:val="%6."/>
      <w:lvlJc w:val="right"/>
      <w:pPr>
        <w:ind w:left="4206" w:firstLine="0"/>
      </w:pPr>
    </w:lvl>
    <w:lvl w:ilvl="6" w:tplc="1CEE2B6C">
      <w:start w:val="1"/>
      <w:numFmt w:val="decimal"/>
      <w:lvlText w:val="%7."/>
      <w:lvlJc w:val="left"/>
      <w:pPr>
        <w:ind w:left="4746" w:firstLine="0"/>
      </w:pPr>
    </w:lvl>
    <w:lvl w:ilvl="7" w:tplc="35961D96">
      <w:start w:val="1"/>
      <w:numFmt w:val="lowerLetter"/>
      <w:lvlText w:val="%8."/>
      <w:lvlJc w:val="left"/>
      <w:pPr>
        <w:ind w:left="5466" w:firstLine="0"/>
      </w:pPr>
    </w:lvl>
    <w:lvl w:ilvl="8" w:tplc="526EA076">
      <w:start w:val="1"/>
      <w:numFmt w:val="lowerRoman"/>
      <w:lvlText w:val="%9."/>
      <w:lvlJc w:val="right"/>
      <w:pPr>
        <w:ind w:left="6366" w:firstLine="0"/>
      </w:pPr>
    </w:lvl>
  </w:abstractNum>
  <w:abstractNum w:abstractNumId="3" w15:restartNumberingAfterBreak="0">
    <w:nsid w:val="15FF7D2C"/>
    <w:multiLevelType w:val="hybridMultilevel"/>
    <w:tmpl w:val="984C2826"/>
    <w:name w:val="Нумерованный список 4"/>
    <w:lvl w:ilvl="0" w:tplc="931E880E">
      <w:numFmt w:val="bullet"/>
      <w:lvlText w:val="·"/>
      <w:lvlJc w:val="left"/>
      <w:pPr>
        <w:ind w:left="773" w:firstLine="0"/>
      </w:pPr>
      <w:rPr>
        <w:rFonts w:ascii="Symbol" w:hAnsi="Symbol" w:cs="Symbol"/>
      </w:rPr>
    </w:lvl>
    <w:lvl w:ilvl="1" w:tplc="F06C220A">
      <w:numFmt w:val="bullet"/>
      <w:lvlText w:val="o"/>
      <w:lvlJc w:val="left"/>
      <w:pPr>
        <w:ind w:left="1493" w:firstLine="0"/>
      </w:pPr>
      <w:rPr>
        <w:rFonts w:ascii="Courier New" w:hAnsi="Courier New" w:cs="Courier New"/>
      </w:rPr>
    </w:lvl>
    <w:lvl w:ilvl="2" w:tplc="1D9E9C74">
      <w:numFmt w:val="bullet"/>
      <w:lvlText w:val=""/>
      <w:lvlJc w:val="left"/>
      <w:pPr>
        <w:ind w:left="2213" w:firstLine="0"/>
      </w:pPr>
      <w:rPr>
        <w:rFonts w:ascii="Wingdings" w:eastAsia="Wingdings" w:hAnsi="Wingdings" w:cs="Wingdings"/>
      </w:rPr>
    </w:lvl>
    <w:lvl w:ilvl="3" w:tplc="B2BC869A">
      <w:numFmt w:val="bullet"/>
      <w:lvlText w:val="·"/>
      <w:lvlJc w:val="left"/>
      <w:pPr>
        <w:ind w:left="2933" w:firstLine="0"/>
      </w:pPr>
      <w:rPr>
        <w:rFonts w:ascii="Symbol" w:hAnsi="Symbol" w:cs="Symbol"/>
      </w:rPr>
    </w:lvl>
    <w:lvl w:ilvl="4" w:tplc="3A2E51BE">
      <w:numFmt w:val="bullet"/>
      <w:lvlText w:val="o"/>
      <w:lvlJc w:val="left"/>
      <w:pPr>
        <w:ind w:left="3653" w:firstLine="0"/>
      </w:pPr>
      <w:rPr>
        <w:rFonts w:ascii="Courier New" w:hAnsi="Courier New" w:cs="Courier New"/>
      </w:rPr>
    </w:lvl>
    <w:lvl w:ilvl="5" w:tplc="5442D368">
      <w:numFmt w:val="bullet"/>
      <w:lvlText w:val=""/>
      <w:lvlJc w:val="left"/>
      <w:pPr>
        <w:ind w:left="4373" w:firstLine="0"/>
      </w:pPr>
      <w:rPr>
        <w:rFonts w:ascii="Wingdings" w:eastAsia="Wingdings" w:hAnsi="Wingdings" w:cs="Wingdings"/>
      </w:rPr>
    </w:lvl>
    <w:lvl w:ilvl="6" w:tplc="DD441F18">
      <w:numFmt w:val="bullet"/>
      <w:lvlText w:val="·"/>
      <w:lvlJc w:val="left"/>
      <w:pPr>
        <w:ind w:left="5093" w:firstLine="0"/>
      </w:pPr>
      <w:rPr>
        <w:rFonts w:ascii="Symbol" w:hAnsi="Symbol" w:cs="Symbol"/>
      </w:rPr>
    </w:lvl>
    <w:lvl w:ilvl="7" w:tplc="238C3776">
      <w:numFmt w:val="bullet"/>
      <w:lvlText w:val="o"/>
      <w:lvlJc w:val="left"/>
      <w:pPr>
        <w:ind w:left="5813" w:firstLine="0"/>
      </w:pPr>
      <w:rPr>
        <w:rFonts w:ascii="Courier New" w:hAnsi="Courier New" w:cs="Courier New"/>
      </w:rPr>
    </w:lvl>
    <w:lvl w:ilvl="8" w:tplc="2FD66B2C">
      <w:numFmt w:val="bullet"/>
      <w:lvlText w:val=""/>
      <w:lvlJc w:val="left"/>
      <w:pPr>
        <w:ind w:left="6533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281272B9"/>
    <w:multiLevelType w:val="hybridMultilevel"/>
    <w:tmpl w:val="FB1AADAC"/>
    <w:name w:val="Нумерованный список 3"/>
    <w:lvl w:ilvl="0" w:tplc="0BC85176">
      <w:numFmt w:val="bullet"/>
      <w:lvlText w:val="·"/>
      <w:lvlJc w:val="left"/>
      <w:pPr>
        <w:ind w:left="360" w:firstLine="0"/>
      </w:pPr>
      <w:rPr>
        <w:rFonts w:ascii="Symbol" w:hAnsi="Symbol" w:cs="Symbol"/>
      </w:rPr>
    </w:lvl>
    <w:lvl w:ilvl="1" w:tplc="7E786606">
      <w:start w:val="1"/>
      <w:numFmt w:val="decimal"/>
      <w:lvlText w:val="%2."/>
      <w:lvlJc w:val="left"/>
      <w:pPr>
        <w:ind w:left="1080" w:firstLine="0"/>
      </w:pPr>
    </w:lvl>
    <w:lvl w:ilvl="2" w:tplc="593476B4">
      <w:start w:val="1"/>
      <w:numFmt w:val="decimal"/>
      <w:lvlText w:val="%3."/>
      <w:lvlJc w:val="left"/>
      <w:pPr>
        <w:ind w:left="1800" w:firstLine="0"/>
      </w:pPr>
    </w:lvl>
    <w:lvl w:ilvl="3" w:tplc="5DF8841A">
      <w:start w:val="1"/>
      <w:numFmt w:val="decimal"/>
      <w:lvlText w:val="%4."/>
      <w:lvlJc w:val="left"/>
      <w:pPr>
        <w:ind w:left="2520" w:firstLine="0"/>
      </w:pPr>
    </w:lvl>
    <w:lvl w:ilvl="4" w:tplc="765AB6AA">
      <w:start w:val="1"/>
      <w:numFmt w:val="decimal"/>
      <w:lvlText w:val="%5."/>
      <w:lvlJc w:val="left"/>
      <w:pPr>
        <w:ind w:left="3240" w:firstLine="0"/>
      </w:pPr>
    </w:lvl>
    <w:lvl w:ilvl="5" w:tplc="386285FC">
      <w:start w:val="1"/>
      <w:numFmt w:val="decimal"/>
      <w:lvlText w:val="%6."/>
      <w:lvlJc w:val="left"/>
      <w:pPr>
        <w:ind w:left="3960" w:firstLine="0"/>
      </w:pPr>
    </w:lvl>
    <w:lvl w:ilvl="6" w:tplc="874E2844">
      <w:start w:val="1"/>
      <w:numFmt w:val="decimal"/>
      <w:lvlText w:val="%7."/>
      <w:lvlJc w:val="left"/>
      <w:pPr>
        <w:ind w:left="4680" w:firstLine="0"/>
      </w:pPr>
    </w:lvl>
    <w:lvl w:ilvl="7" w:tplc="0220D04A">
      <w:start w:val="1"/>
      <w:numFmt w:val="decimal"/>
      <w:lvlText w:val="%8."/>
      <w:lvlJc w:val="left"/>
      <w:pPr>
        <w:ind w:left="5400" w:firstLine="0"/>
      </w:pPr>
    </w:lvl>
    <w:lvl w:ilvl="8" w:tplc="2AC2D10A">
      <w:start w:val="1"/>
      <w:numFmt w:val="decimal"/>
      <w:lvlText w:val="%9."/>
      <w:lvlJc w:val="left"/>
      <w:pPr>
        <w:ind w:left="6120" w:firstLine="0"/>
      </w:pPr>
    </w:lvl>
  </w:abstractNum>
  <w:abstractNum w:abstractNumId="5" w15:restartNumberingAfterBreak="0">
    <w:nsid w:val="52E603A2"/>
    <w:multiLevelType w:val="hybridMultilevel"/>
    <w:tmpl w:val="1D00D9B6"/>
    <w:name w:val="Нумерованный список 9"/>
    <w:lvl w:ilvl="0" w:tplc="B00A219C">
      <w:numFmt w:val="bullet"/>
      <w:lvlText w:val="·"/>
      <w:lvlJc w:val="left"/>
      <w:pPr>
        <w:ind w:left="349" w:firstLine="0"/>
      </w:pPr>
      <w:rPr>
        <w:rFonts w:ascii="Symbol" w:hAnsi="Symbol" w:cs="Symbol"/>
      </w:rPr>
    </w:lvl>
    <w:lvl w:ilvl="1" w:tplc="B4187FD8">
      <w:numFmt w:val="bullet"/>
      <w:lvlText w:val="o"/>
      <w:lvlJc w:val="left"/>
      <w:pPr>
        <w:ind w:left="1069" w:firstLine="0"/>
      </w:pPr>
      <w:rPr>
        <w:rFonts w:ascii="Courier New" w:hAnsi="Courier New" w:cs="Courier New"/>
      </w:rPr>
    </w:lvl>
    <w:lvl w:ilvl="2" w:tplc="E2B84702">
      <w:numFmt w:val="bullet"/>
      <w:lvlText w:val="§"/>
      <w:lvlJc w:val="left"/>
      <w:pPr>
        <w:ind w:left="1789" w:firstLine="0"/>
      </w:pPr>
      <w:rPr>
        <w:rFonts w:ascii="Wingdings" w:hAnsi="Wingdings" w:cs="Wingdings"/>
      </w:rPr>
    </w:lvl>
    <w:lvl w:ilvl="3" w:tplc="79263092">
      <w:numFmt w:val="bullet"/>
      <w:lvlText w:val="·"/>
      <w:lvlJc w:val="left"/>
      <w:pPr>
        <w:ind w:left="2509" w:firstLine="0"/>
      </w:pPr>
      <w:rPr>
        <w:rFonts w:ascii="Symbol" w:hAnsi="Symbol" w:cs="Symbol"/>
      </w:rPr>
    </w:lvl>
    <w:lvl w:ilvl="4" w:tplc="B4269BCC">
      <w:numFmt w:val="bullet"/>
      <w:lvlText w:val="o"/>
      <w:lvlJc w:val="left"/>
      <w:pPr>
        <w:ind w:left="3229" w:firstLine="0"/>
      </w:pPr>
      <w:rPr>
        <w:rFonts w:ascii="Courier New" w:hAnsi="Courier New" w:cs="Courier New"/>
      </w:rPr>
    </w:lvl>
    <w:lvl w:ilvl="5" w:tplc="927623AE">
      <w:numFmt w:val="bullet"/>
      <w:lvlText w:val="§"/>
      <w:lvlJc w:val="left"/>
      <w:pPr>
        <w:ind w:left="3949" w:firstLine="0"/>
      </w:pPr>
      <w:rPr>
        <w:rFonts w:ascii="Wingdings" w:hAnsi="Wingdings" w:cs="Wingdings"/>
      </w:rPr>
    </w:lvl>
    <w:lvl w:ilvl="6" w:tplc="569C21F6">
      <w:numFmt w:val="bullet"/>
      <w:lvlText w:val="·"/>
      <w:lvlJc w:val="left"/>
      <w:pPr>
        <w:ind w:left="4669" w:firstLine="0"/>
      </w:pPr>
      <w:rPr>
        <w:rFonts w:ascii="Symbol" w:hAnsi="Symbol" w:cs="Symbol"/>
      </w:rPr>
    </w:lvl>
    <w:lvl w:ilvl="7" w:tplc="261EB62C">
      <w:numFmt w:val="bullet"/>
      <w:lvlText w:val="o"/>
      <w:lvlJc w:val="left"/>
      <w:pPr>
        <w:ind w:left="5389" w:firstLine="0"/>
      </w:pPr>
      <w:rPr>
        <w:rFonts w:ascii="Courier New" w:hAnsi="Courier New" w:cs="Courier New"/>
      </w:rPr>
    </w:lvl>
    <w:lvl w:ilvl="8" w:tplc="4A5862C6">
      <w:numFmt w:val="bullet"/>
      <w:lvlText w:val="§"/>
      <w:lvlJc w:val="left"/>
      <w:pPr>
        <w:ind w:left="6109" w:firstLine="0"/>
      </w:pPr>
      <w:rPr>
        <w:rFonts w:ascii="Wingdings" w:hAnsi="Wingdings" w:cs="Wingdings"/>
      </w:rPr>
    </w:lvl>
  </w:abstractNum>
  <w:abstractNum w:abstractNumId="6" w15:restartNumberingAfterBreak="0">
    <w:nsid w:val="55EC0F08"/>
    <w:multiLevelType w:val="hybridMultilevel"/>
    <w:tmpl w:val="B90C772A"/>
    <w:name w:val="Нумерованный список 8"/>
    <w:lvl w:ilvl="0" w:tplc="05B0895C">
      <w:numFmt w:val="bullet"/>
      <w:pStyle w:val="TimesNewRoman11"/>
      <w:lvlText w:val="·"/>
      <w:lvlJc w:val="left"/>
      <w:pPr>
        <w:ind w:left="360" w:firstLine="0"/>
      </w:pPr>
      <w:rPr>
        <w:rFonts w:ascii="Symbol" w:hAnsi="Symbol" w:cs="Symbol"/>
      </w:rPr>
    </w:lvl>
    <w:lvl w:ilvl="1" w:tplc="396A023A">
      <w:numFmt w:val="bullet"/>
      <w:lvlText w:val="·"/>
      <w:lvlJc w:val="left"/>
      <w:pPr>
        <w:ind w:left="1080" w:firstLine="0"/>
      </w:pPr>
      <w:rPr>
        <w:rFonts w:ascii="Symbol" w:hAnsi="Symbol" w:cs="Symbol"/>
      </w:rPr>
    </w:lvl>
    <w:lvl w:ilvl="2" w:tplc="DEB4242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E34494E">
      <w:numFmt w:val="bullet"/>
      <w:lvlText w:val="·"/>
      <w:lvlJc w:val="left"/>
      <w:pPr>
        <w:ind w:left="2520" w:firstLine="0"/>
      </w:pPr>
      <w:rPr>
        <w:rFonts w:ascii="Symbol" w:hAnsi="Symbol" w:cs="Symbol"/>
      </w:rPr>
    </w:lvl>
    <w:lvl w:ilvl="4" w:tplc="C0E24B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39238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00CAD90">
      <w:numFmt w:val="bullet"/>
      <w:lvlText w:val="·"/>
      <w:lvlJc w:val="left"/>
      <w:pPr>
        <w:ind w:left="4680" w:firstLine="0"/>
      </w:pPr>
      <w:rPr>
        <w:rFonts w:ascii="Symbol" w:hAnsi="Symbol" w:cs="Symbol"/>
      </w:rPr>
    </w:lvl>
    <w:lvl w:ilvl="7" w:tplc="0256FB5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1A87B9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68EE4E78"/>
    <w:multiLevelType w:val="hybridMultilevel"/>
    <w:tmpl w:val="10284230"/>
    <w:name w:val="Нумерованный список 7"/>
    <w:lvl w:ilvl="0" w:tplc="BCACA44E">
      <w:numFmt w:val="bullet"/>
      <w:lvlText w:val="·"/>
      <w:lvlJc w:val="left"/>
      <w:pPr>
        <w:ind w:left="360" w:firstLine="0"/>
      </w:pPr>
      <w:rPr>
        <w:rFonts w:ascii="Symbol" w:hAnsi="Symbol" w:cs="Symbol"/>
      </w:rPr>
    </w:lvl>
    <w:lvl w:ilvl="1" w:tplc="D5AA5408">
      <w:numFmt w:val="bullet"/>
      <w:lvlText w:val="o"/>
      <w:lvlJc w:val="left"/>
      <w:pPr>
        <w:ind w:left="1800" w:firstLine="0"/>
      </w:pPr>
      <w:rPr>
        <w:rFonts w:ascii="Courier New" w:hAnsi="Courier New" w:cs="Courier New"/>
      </w:rPr>
    </w:lvl>
    <w:lvl w:ilvl="2" w:tplc="28CEBC6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</w:rPr>
    </w:lvl>
    <w:lvl w:ilvl="3" w:tplc="5BE8617C">
      <w:numFmt w:val="bullet"/>
      <w:lvlText w:val="·"/>
      <w:lvlJc w:val="left"/>
      <w:pPr>
        <w:ind w:left="3240" w:firstLine="0"/>
      </w:pPr>
      <w:rPr>
        <w:rFonts w:ascii="Symbol" w:hAnsi="Symbol" w:cs="Symbol"/>
      </w:rPr>
    </w:lvl>
    <w:lvl w:ilvl="4" w:tplc="4C6673A2">
      <w:numFmt w:val="bullet"/>
      <w:lvlText w:val="o"/>
      <w:lvlJc w:val="left"/>
      <w:pPr>
        <w:ind w:left="3960" w:firstLine="0"/>
      </w:pPr>
      <w:rPr>
        <w:rFonts w:ascii="Courier New" w:hAnsi="Courier New" w:cs="Courier New"/>
      </w:rPr>
    </w:lvl>
    <w:lvl w:ilvl="5" w:tplc="7040AAF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</w:rPr>
    </w:lvl>
    <w:lvl w:ilvl="6" w:tplc="9796ECF4">
      <w:numFmt w:val="bullet"/>
      <w:lvlText w:val="·"/>
      <w:lvlJc w:val="left"/>
      <w:pPr>
        <w:ind w:left="5400" w:firstLine="0"/>
      </w:pPr>
      <w:rPr>
        <w:rFonts w:ascii="Symbol" w:hAnsi="Symbol" w:cs="Symbol"/>
      </w:rPr>
    </w:lvl>
    <w:lvl w:ilvl="7" w:tplc="0B6A428C">
      <w:numFmt w:val="bullet"/>
      <w:lvlText w:val="o"/>
      <w:lvlJc w:val="left"/>
      <w:pPr>
        <w:ind w:left="6120" w:firstLine="0"/>
      </w:pPr>
      <w:rPr>
        <w:rFonts w:ascii="Courier New" w:hAnsi="Courier New" w:cs="Courier New"/>
      </w:rPr>
    </w:lvl>
    <w:lvl w:ilvl="8" w:tplc="57DAA52A">
      <w:numFmt w:val="bullet"/>
      <w:lvlText w:val=""/>
      <w:lvlJc w:val="left"/>
      <w:pPr>
        <w:ind w:left="684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694E1A21"/>
    <w:multiLevelType w:val="hybridMultilevel"/>
    <w:tmpl w:val="119E4ED0"/>
    <w:name w:val="Нумерованный список 10"/>
    <w:lvl w:ilvl="0" w:tplc="1750A4FC">
      <w:start w:val="1"/>
      <w:numFmt w:val="none"/>
      <w:suff w:val="nothing"/>
      <w:lvlText w:val=""/>
      <w:lvlJc w:val="left"/>
      <w:pPr>
        <w:ind w:left="0" w:firstLine="0"/>
      </w:pPr>
    </w:lvl>
    <w:lvl w:ilvl="1" w:tplc="ECAE4F8C">
      <w:start w:val="1"/>
      <w:numFmt w:val="none"/>
      <w:suff w:val="nothing"/>
      <w:lvlText w:val=""/>
      <w:lvlJc w:val="left"/>
      <w:pPr>
        <w:ind w:left="0" w:firstLine="0"/>
      </w:pPr>
    </w:lvl>
    <w:lvl w:ilvl="2" w:tplc="3EEEB5E0">
      <w:start w:val="1"/>
      <w:numFmt w:val="none"/>
      <w:suff w:val="nothing"/>
      <w:lvlText w:val=""/>
      <w:lvlJc w:val="left"/>
      <w:pPr>
        <w:ind w:left="0" w:firstLine="0"/>
      </w:pPr>
    </w:lvl>
    <w:lvl w:ilvl="3" w:tplc="EF345076">
      <w:start w:val="1"/>
      <w:numFmt w:val="none"/>
      <w:suff w:val="nothing"/>
      <w:lvlText w:val=""/>
      <w:lvlJc w:val="left"/>
      <w:pPr>
        <w:ind w:left="0" w:firstLine="0"/>
      </w:pPr>
    </w:lvl>
    <w:lvl w:ilvl="4" w:tplc="1786D7E2">
      <w:start w:val="1"/>
      <w:numFmt w:val="none"/>
      <w:suff w:val="nothing"/>
      <w:lvlText w:val=""/>
      <w:lvlJc w:val="left"/>
      <w:pPr>
        <w:ind w:left="0" w:firstLine="0"/>
      </w:pPr>
    </w:lvl>
    <w:lvl w:ilvl="5" w:tplc="74E4ED6C">
      <w:start w:val="1"/>
      <w:numFmt w:val="none"/>
      <w:suff w:val="nothing"/>
      <w:lvlText w:val=""/>
      <w:lvlJc w:val="left"/>
      <w:pPr>
        <w:ind w:left="0" w:firstLine="0"/>
      </w:pPr>
    </w:lvl>
    <w:lvl w:ilvl="6" w:tplc="FBB4C674">
      <w:start w:val="1"/>
      <w:numFmt w:val="none"/>
      <w:suff w:val="nothing"/>
      <w:lvlText w:val=""/>
      <w:lvlJc w:val="left"/>
      <w:pPr>
        <w:ind w:left="0" w:firstLine="0"/>
      </w:pPr>
    </w:lvl>
    <w:lvl w:ilvl="7" w:tplc="012A06E2">
      <w:start w:val="1"/>
      <w:numFmt w:val="none"/>
      <w:suff w:val="nothing"/>
      <w:lvlText w:val=""/>
      <w:lvlJc w:val="left"/>
      <w:pPr>
        <w:ind w:left="0" w:firstLine="0"/>
      </w:pPr>
    </w:lvl>
    <w:lvl w:ilvl="8" w:tplc="868C28D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6D430046"/>
    <w:multiLevelType w:val="hybridMultilevel"/>
    <w:tmpl w:val="5BF68308"/>
    <w:lvl w:ilvl="0" w:tplc="64B00EA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FD6CD6F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24E529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D5E514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3DE372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EAEFF0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382BEC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1834F0F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61C3EE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4C79B3"/>
    <w:multiLevelType w:val="hybridMultilevel"/>
    <w:tmpl w:val="209C706E"/>
    <w:name w:val="Нумерованный список 5"/>
    <w:lvl w:ilvl="0" w:tplc="C15C9914">
      <w:numFmt w:val="bullet"/>
      <w:lvlText w:val="·"/>
      <w:lvlJc w:val="left"/>
      <w:pPr>
        <w:ind w:left="0" w:firstLine="0"/>
      </w:pPr>
      <w:rPr>
        <w:rFonts w:ascii="Symbol" w:hAnsi="Symbol" w:cs="Symbol"/>
        <w:b w:val="0"/>
        <w:smallCaps w:val="0"/>
        <w:color w:val="000000"/>
        <w:spacing w:val="0"/>
        <w:sz w:val="22"/>
        <w:u w:val="none"/>
      </w:rPr>
    </w:lvl>
    <w:lvl w:ilvl="1" w:tplc="03868ABA">
      <w:numFmt w:val="decimal"/>
      <w:lvlText w:val=""/>
      <w:lvlJc w:val="left"/>
      <w:pPr>
        <w:ind w:left="0" w:firstLine="0"/>
      </w:pPr>
    </w:lvl>
    <w:lvl w:ilvl="2" w:tplc="6C382256">
      <w:numFmt w:val="decimal"/>
      <w:lvlText w:val=""/>
      <w:lvlJc w:val="left"/>
      <w:pPr>
        <w:ind w:left="0" w:firstLine="0"/>
      </w:pPr>
    </w:lvl>
    <w:lvl w:ilvl="3" w:tplc="C5E209E6">
      <w:numFmt w:val="decimal"/>
      <w:lvlText w:val=""/>
      <w:lvlJc w:val="left"/>
      <w:pPr>
        <w:ind w:left="0" w:firstLine="0"/>
      </w:pPr>
    </w:lvl>
    <w:lvl w:ilvl="4" w:tplc="028C135E">
      <w:numFmt w:val="decimal"/>
      <w:lvlText w:val=""/>
      <w:lvlJc w:val="left"/>
      <w:pPr>
        <w:ind w:left="0" w:firstLine="0"/>
      </w:pPr>
    </w:lvl>
    <w:lvl w:ilvl="5" w:tplc="6F0A45BA">
      <w:numFmt w:val="decimal"/>
      <w:lvlText w:val=""/>
      <w:lvlJc w:val="left"/>
      <w:pPr>
        <w:ind w:left="0" w:firstLine="0"/>
      </w:pPr>
    </w:lvl>
    <w:lvl w:ilvl="6" w:tplc="5FB645EC">
      <w:numFmt w:val="decimal"/>
      <w:lvlText w:val=""/>
      <w:lvlJc w:val="left"/>
      <w:pPr>
        <w:ind w:left="0" w:firstLine="0"/>
      </w:pPr>
    </w:lvl>
    <w:lvl w:ilvl="7" w:tplc="C3F0834A">
      <w:numFmt w:val="decimal"/>
      <w:lvlText w:val=""/>
      <w:lvlJc w:val="left"/>
      <w:pPr>
        <w:ind w:left="0" w:firstLine="0"/>
      </w:pPr>
    </w:lvl>
    <w:lvl w:ilvl="8" w:tplc="3F8C3C1A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7CC8647F"/>
    <w:multiLevelType w:val="hybridMultilevel"/>
    <w:tmpl w:val="431C1030"/>
    <w:name w:val="Нумерованный список 1"/>
    <w:lvl w:ilvl="0" w:tplc="693471B8">
      <w:start w:val="1"/>
      <w:numFmt w:val="none"/>
      <w:lvlText w:val=""/>
      <w:lvlJc w:val="left"/>
      <w:pPr>
        <w:ind w:left="0" w:firstLine="0"/>
      </w:pPr>
    </w:lvl>
    <w:lvl w:ilvl="1" w:tplc="FCD8705E">
      <w:start w:val="1"/>
      <w:numFmt w:val="none"/>
      <w:lvlText w:val=""/>
      <w:lvlJc w:val="left"/>
      <w:pPr>
        <w:ind w:left="0" w:firstLine="0"/>
      </w:pPr>
    </w:lvl>
    <w:lvl w:ilvl="2" w:tplc="294A515E">
      <w:start w:val="1"/>
      <w:numFmt w:val="none"/>
      <w:lvlText w:val=""/>
      <w:lvlJc w:val="left"/>
      <w:pPr>
        <w:ind w:left="0" w:firstLine="0"/>
      </w:pPr>
    </w:lvl>
    <w:lvl w:ilvl="3" w:tplc="E2F8C514">
      <w:start w:val="1"/>
      <w:numFmt w:val="none"/>
      <w:lvlText w:val=""/>
      <w:lvlJc w:val="left"/>
      <w:pPr>
        <w:ind w:left="0" w:firstLine="0"/>
      </w:pPr>
    </w:lvl>
    <w:lvl w:ilvl="4" w:tplc="08982538">
      <w:start w:val="1"/>
      <w:numFmt w:val="none"/>
      <w:lvlText w:val=""/>
      <w:lvlJc w:val="left"/>
      <w:pPr>
        <w:ind w:left="0" w:firstLine="0"/>
      </w:pPr>
    </w:lvl>
    <w:lvl w:ilvl="5" w:tplc="2B22428E">
      <w:start w:val="1"/>
      <w:numFmt w:val="none"/>
      <w:lvlText w:val=""/>
      <w:lvlJc w:val="left"/>
      <w:pPr>
        <w:ind w:left="0" w:firstLine="0"/>
      </w:pPr>
    </w:lvl>
    <w:lvl w:ilvl="6" w:tplc="8F948B4A">
      <w:start w:val="1"/>
      <w:numFmt w:val="none"/>
      <w:lvlText w:val=""/>
      <w:lvlJc w:val="left"/>
      <w:pPr>
        <w:ind w:left="0" w:firstLine="0"/>
      </w:pPr>
    </w:lvl>
    <w:lvl w:ilvl="7" w:tplc="32C63228">
      <w:start w:val="1"/>
      <w:numFmt w:val="none"/>
      <w:lvlText w:val=""/>
      <w:lvlJc w:val="left"/>
      <w:pPr>
        <w:ind w:left="0" w:firstLine="0"/>
      </w:pPr>
    </w:lvl>
    <w:lvl w:ilvl="8" w:tplc="8B7EECE8">
      <w:start w:val="1"/>
      <w:numFmt w:val="none"/>
      <w:lvlText w:val=""/>
      <w:lvlJc w:val="left"/>
      <w:pPr>
        <w:ind w:left="0" w:firstLine="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4E8"/>
    <w:rsid w:val="0008035D"/>
    <w:rsid w:val="000D3CEB"/>
    <w:rsid w:val="004A246A"/>
    <w:rsid w:val="006D4C9D"/>
    <w:rsid w:val="00736711"/>
    <w:rsid w:val="00A95C08"/>
    <w:rsid w:val="00BD572A"/>
    <w:rsid w:val="00EC44E8"/>
    <w:rsid w:val="00EE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C5B29"/>
  <w15:docId w15:val="{E4B27270-FE2C-4E8B-AF14-298116AA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roid Sans"/>
        <w:color w:val="000000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qFormat/>
    <w:pPr>
      <w:keepNext/>
      <w:ind w:firstLine="426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firstLine="113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ind w:left="426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color w:val="000080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paragraph" w:styleId="8">
    <w:name w:val="heading 8"/>
    <w:basedOn w:val="a"/>
    <w:next w:val="a"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Open Sans" w:eastAsia="Arial Unicode MS" w:hAnsi="Open Sans" w:cs="Arial Unicode MS"/>
      <w:sz w:val="28"/>
      <w:szCs w:val="28"/>
    </w:rPr>
  </w:style>
  <w:style w:type="paragraph" w:styleId="a3">
    <w:name w:val="Body Text"/>
    <w:basedOn w:val="a"/>
    <w:qFormat/>
    <w:pPr>
      <w:jc w:val="both"/>
    </w:pPr>
  </w:style>
  <w:style w:type="paragraph" w:styleId="a4">
    <w:name w:val="List"/>
    <w:basedOn w:val="a3"/>
    <w:qFormat/>
  </w:style>
  <w:style w:type="paragraph" w:styleId="a5">
    <w:name w:val="caption"/>
    <w:basedOn w:val="a"/>
    <w:qFormat/>
    <w:pPr>
      <w:spacing w:before="120" w:after="120"/>
    </w:pPr>
    <w:rPr>
      <w:i/>
    </w:rPr>
  </w:style>
  <w:style w:type="paragraph" w:customStyle="1" w:styleId="11">
    <w:name w:val="Указатель1"/>
    <w:basedOn w:val="a"/>
    <w:qFormat/>
    <w:pPr>
      <w:suppressLineNumbers/>
    </w:pPr>
  </w:style>
  <w:style w:type="paragraph" w:customStyle="1" w:styleId="110">
    <w:name w:val="Заголовок11"/>
    <w:basedOn w:val="a"/>
    <w:next w:val="a3"/>
    <w:qFormat/>
    <w:pPr>
      <w:keepNext/>
      <w:spacing w:before="240" w:after="120"/>
    </w:pPr>
    <w:rPr>
      <w:rFonts w:ascii="Open Sans" w:eastAsia="Arial Unicode MS" w:hAnsi="Open Sans" w:cs="Arial Unicode MS"/>
      <w:sz w:val="28"/>
      <w:szCs w:val="28"/>
    </w:rPr>
  </w:style>
  <w:style w:type="paragraph" w:customStyle="1" w:styleId="111">
    <w:name w:val="Указатель11"/>
    <w:basedOn w:val="a"/>
    <w:qFormat/>
    <w:pPr>
      <w:suppressLineNumbers/>
    </w:pPr>
  </w:style>
  <w:style w:type="paragraph" w:customStyle="1" w:styleId="1110">
    <w:name w:val="Заголовок111"/>
    <w:basedOn w:val="a"/>
    <w:next w:val="a3"/>
    <w:qFormat/>
    <w:pPr>
      <w:keepNext/>
      <w:spacing w:before="240" w:after="120"/>
    </w:pPr>
    <w:rPr>
      <w:rFonts w:ascii="Open Sans" w:eastAsia="Arial Unicode MS" w:hAnsi="Open Sans" w:cs="Arial Unicode MS"/>
      <w:sz w:val="28"/>
      <w:szCs w:val="28"/>
    </w:rPr>
  </w:style>
  <w:style w:type="paragraph" w:customStyle="1" w:styleId="1111">
    <w:name w:val="Указатель111"/>
    <w:basedOn w:val="a"/>
    <w:qFormat/>
    <w:pPr>
      <w:suppressLineNumbers/>
    </w:pPr>
  </w:style>
  <w:style w:type="paragraph" w:customStyle="1" w:styleId="11110">
    <w:name w:val="Заголовок1111"/>
    <w:basedOn w:val="a"/>
    <w:next w:val="a3"/>
    <w:qFormat/>
    <w:pPr>
      <w:keepNext/>
      <w:spacing w:before="240" w:after="120"/>
    </w:pPr>
    <w:rPr>
      <w:rFonts w:ascii="Open Sans" w:eastAsia="Arial Unicode MS" w:hAnsi="Open Sans" w:cs="Arial Unicode MS"/>
      <w:sz w:val="28"/>
      <w:szCs w:val="28"/>
    </w:rPr>
  </w:style>
  <w:style w:type="paragraph" w:customStyle="1" w:styleId="11111">
    <w:name w:val="Указатель1111"/>
    <w:basedOn w:val="a"/>
    <w:qFormat/>
    <w:pPr>
      <w:suppressLineNumbers/>
    </w:pPr>
  </w:style>
  <w:style w:type="paragraph" w:customStyle="1" w:styleId="111110">
    <w:name w:val="Заголовок11111"/>
    <w:basedOn w:val="a"/>
    <w:next w:val="a3"/>
    <w:qFormat/>
    <w:pPr>
      <w:keepNext/>
      <w:spacing w:before="240" w:after="120"/>
    </w:pPr>
    <w:rPr>
      <w:rFonts w:ascii="Open Sans" w:eastAsia="Arial Unicode MS" w:hAnsi="Open Sans" w:cs="Arial Unicode MS"/>
      <w:sz w:val="28"/>
      <w:szCs w:val="28"/>
    </w:rPr>
  </w:style>
  <w:style w:type="paragraph" w:customStyle="1" w:styleId="111111">
    <w:name w:val="Указатель11111"/>
    <w:basedOn w:val="a"/>
    <w:qFormat/>
    <w:pPr>
      <w:suppressLineNumbers/>
    </w:pPr>
  </w:style>
  <w:style w:type="paragraph" w:customStyle="1" w:styleId="1111110">
    <w:name w:val="Заголовок111111"/>
    <w:basedOn w:val="a"/>
    <w:next w:val="a3"/>
    <w:qFormat/>
    <w:pPr>
      <w:keepNext/>
      <w:spacing w:before="240" w:after="120"/>
    </w:pPr>
    <w:rPr>
      <w:rFonts w:ascii="Open Sans" w:hAnsi="Open Sans"/>
      <w:sz w:val="28"/>
    </w:rPr>
  </w:style>
  <w:style w:type="paragraph" w:customStyle="1" w:styleId="1111111">
    <w:name w:val="Указатель111111"/>
    <w:basedOn w:val="a"/>
    <w:qFormat/>
  </w:style>
  <w:style w:type="paragraph" w:styleId="a6">
    <w:name w:val="List Paragraph"/>
    <w:basedOn w:val="a"/>
    <w:qFormat/>
    <w:pPr>
      <w:ind w:left="720"/>
      <w:contextualSpacing/>
    </w:pPr>
  </w:style>
  <w:style w:type="paragraph" w:styleId="a7">
    <w:name w:val="No Spacing"/>
    <w:qFormat/>
  </w:style>
  <w:style w:type="paragraph" w:styleId="20">
    <w:name w:val="Quote"/>
    <w:basedOn w:val="a"/>
    <w:next w:val="a"/>
    <w:qFormat/>
    <w:pPr>
      <w:ind w:left="720" w:right="720"/>
    </w:pPr>
    <w:rPr>
      <w:i/>
    </w:rPr>
  </w:style>
  <w:style w:type="paragraph" w:styleId="a8">
    <w:name w:val="Intense Quote"/>
    <w:basedOn w:val="a"/>
    <w:next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il"/>
      </w:pBdr>
      <w:shd w:val="solid" w:color="F2F2F2" w:fill="auto"/>
      <w:ind w:left="720" w:right="720"/>
    </w:pPr>
    <w:rPr>
      <w:i/>
    </w:rPr>
  </w:style>
  <w:style w:type="paragraph" w:styleId="a9">
    <w:name w:val="footnote text"/>
    <w:basedOn w:val="a"/>
    <w:qFormat/>
    <w:pPr>
      <w:spacing w:after="40"/>
    </w:pPr>
    <w:rPr>
      <w:sz w:val="18"/>
    </w:rPr>
  </w:style>
  <w:style w:type="paragraph" w:styleId="aa">
    <w:name w:val="endnote text"/>
    <w:basedOn w:val="a"/>
    <w:qFormat/>
    <w:rPr>
      <w:sz w:val="20"/>
    </w:rPr>
  </w:style>
  <w:style w:type="paragraph" w:styleId="ab">
    <w:name w:val="index heading"/>
    <w:basedOn w:val="1111110"/>
    <w:qFormat/>
  </w:style>
  <w:style w:type="paragraph" w:styleId="ac">
    <w:name w:val="TOC Heading"/>
    <w:qFormat/>
  </w:style>
  <w:style w:type="paragraph" w:styleId="ad">
    <w:name w:val="table of figures"/>
    <w:basedOn w:val="a"/>
    <w:next w:val="a"/>
    <w:qFormat/>
  </w:style>
  <w:style w:type="paragraph" w:styleId="21">
    <w:name w:val="toc 2"/>
    <w:next w:val="a"/>
    <w:qFormat/>
    <w:pPr>
      <w:ind w:left="200"/>
    </w:pPr>
    <w:rPr>
      <w:rFonts w:ascii="XO Thames" w:hAnsi="XO Thames"/>
      <w:sz w:val="28"/>
    </w:rPr>
  </w:style>
  <w:style w:type="paragraph" w:customStyle="1" w:styleId="BlockText11">
    <w:name w:val="Block Text11"/>
    <w:basedOn w:val="a"/>
    <w:qFormat/>
    <w:pPr>
      <w:ind w:left="-567" w:right="-858" w:firstLine="567"/>
      <w:jc w:val="both"/>
    </w:pPr>
  </w:style>
  <w:style w:type="paragraph" w:styleId="40">
    <w:name w:val="toc 4"/>
    <w:next w:val="a"/>
    <w:qFormat/>
    <w:pPr>
      <w:ind w:left="600"/>
    </w:pPr>
    <w:rPr>
      <w:rFonts w:ascii="XO Thames" w:hAnsi="XO Thames"/>
      <w:sz w:val="28"/>
    </w:rPr>
  </w:style>
  <w:style w:type="paragraph" w:customStyle="1" w:styleId="Textbody2">
    <w:name w:val="Text body2"/>
    <w:qFormat/>
  </w:style>
  <w:style w:type="paragraph" w:styleId="60">
    <w:name w:val="toc 6"/>
    <w:next w:val="a"/>
    <w:qFormat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qFormat/>
    <w:pPr>
      <w:ind w:left="1200"/>
    </w:pPr>
    <w:rPr>
      <w:rFonts w:ascii="XO Thames" w:hAnsi="XO Thames"/>
      <w:sz w:val="28"/>
    </w:rPr>
  </w:style>
  <w:style w:type="paragraph" w:customStyle="1" w:styleId="1112">
    <w:name w:val="Обычный111"/>
    <w:qFormat/>
    <w:rPr>
      <w:sz w:val="24"/>
    </w:rPr>
  </w:style>
  <w:style w:type="paragraph" w:customStyle="1" w:styleId="Heading111">
    <w:name w:val="Heading 111"/>
    <w:qFormat/>
    <w:rPr>
      <w:rFonts w:ascii="Arial" w:hAnsi="Arial"/>
      <w:b/>
      <w:sz w:val="32"/>
    </w:rPr>
  </w:style>
  <w:style w:type="paragraph" w:customStyle="1" w:styleId="Heading511">
    <w:name w:val="Heading 511"/>
    <w:qFormat/>
    <w:rPr>
      <w:b/>
      <w:color w:val="000080"/>
    </w:rPr>
  </w:style>
  <w:style w:type="paragraph" w:customStyle="1" w:styleId="Contents82">
    <w:name w:val="Contents 82"/>
    <w:qFormat/>
    <w:rPr>
      <w:rFonts w:ascii="XO Thames" w:hAnsi="XO Thames"/>
      <w:sz w:val="28"/>
    </w:rPr>
  </w:style>
  <w:style w:type="paragraph" w:customStyle="1" w:styleId="BodyTextIndent311">
    <w:name w:val="Body Text Indent 311"/>
    <w:basedOn w:val="a"/>
    <w:qFormat/>
    <w:pPr>
      <w:tabs>
        <w:tab w:val="left" w:pos="0"/>
      </w:tabs>
      <w:ind w:firstLine="540"/>
      <w:jc w:val="both"/>
    </w:pPr>
  </w:style>
  <w:style w:type="paragraph" w:customStyle="1" w:styleId="Title11">
    <w:name w:val="Title11"/>
    <w:qFormat/>
    <w:rPr>
      <w:rFonts w:ascii="XO Thames" w:hAnsi="XO Thames"/>
      <w:b/>
      <w:caps/>
      <w:sz w:val="40"/>
    </w:rPr>
  </w:style>
  <w:style w:type="paragraph" w:customStyle="1" w:styleId="Contents12">
    <w:name w:val="Contents 12"/>
    <w:qFormat/>
    <w:rPr>
      <w:rFonts w:ascii="XO Thames" w:hAnsi="XO Thames"/>
      <w:b/>
      <w:sz w:val="28"/>
    </w:rPr>
  </w:style>
  <w:style w:type="paragraph" w:customStyle="1" w:styleId="Heading611">
    <w:name w:val="Heading 611"/>
    <w:qFormat/>
    <w:rPr>
      <w:b/>
      <w:sz w:val="22"/>
    </w:rPr>
  </w:style>
  <w:style w:type="paragraph" w:customStyle="1" w:styleId="ConsPlusNonformat11">
    <w:name w:val="ConsPlusNonformat11"/>
    <w:qFormat/>
    <w:pPr>
      <w:widowControl w:val="0"/>
    </w:pPr>
    <w:rPr>
      <w:rFonts w:ascii="Courier New" w:hAnsi="Courier New"/>
    </w:rPr>
  </w:style>
  <w:style w:type="paragraph" w:customStyle="1" w:styleId="ListParagraph11">
    <w:name w:val="List Paragraph11"/>
    <w:basedOn w:val="a"/>
    <w:qFormat/>
    <w:pPr>
      <w:spacing w:after="160" w:line="264" w:lineRule="auto"/>
      <w:ind w:left="720"/>
      <w:contextualSpacing/>
    </w:pPr>
    <w:rPr>
      <w:rFonts w:ascii="Calibri" w:hAnsi="Calibri"/>
      <w:sz w:val="22"/>
    </w:rPr>
  </w:style>
  <w:style w:type="paragraph" w:customStyle="1" w:styleId="BodyTextIndent211">
    <w:name w:val="Body Text Indent 211"/>
    <w:basedOn w:val="a"/>
    <w:qFormat/>
    <w:pPr>
      <w:ind w:firstLine="485"/>
      <w:jc w:val="both"/>
    </w:pPr>
  </w:style>
  <w:style w:type="paragraph" w:styleId="ae">
    <w:name w:val="Body Text Indent"/>
    <w:basedOn w:val="a"/>
    <w:qFormat/>
    <w:pPr>
      <w:ind w:firstLine="540"/>
      <w:jc w:val="both"/>
    </w:pPr>
    <w:rPr>
      <w:sz w:val="26"/>
    </w:rPr>
  </w:style>
  <w:style w:type="paragraph" w:styleId="30">
    <w:name w:val="toc 3"/>
    <w:next w:val="a"/>
    <w:qFormat/>
    <w:pPr>
      <w:ind w:left="400"/>
    </w:pPr>
    <w:rPr>
      <w:rFonts w:ascii="XO Thames" w:hAnsi="XO Thames"/>
      <w:sz w:val="28"/>
    </w:rPr>
  </w:style>
  <w:style w:type="paragraph" w:customStyle="1" w:styleId="Heading211">
    <w:name w:val="Heading 211"/>
    <w:qFormat/>
    <w:rPr>
      <w:b/>
    </w:rPr>
  </w:style>
  <w:style w:type="paragraph" w:customStyle="1" w:styleId="DefaultParagraphFont11">
    <w:name w:val="Default Paragraph Font11"/>
    <w:qFormat/>
  </w:style>
  <w:style w:type="paragraph" w:customStyle="1" w:styleId="211">
    <w:name w:val="Основной шрифт абзаца211"/>
    <w:qFormat/>
  </w:style>
  <w:style w:type="paragraph" w:customStyle="1" w:styleId="Footnote11">
    <w:name w:val="Footnote11"/>
    <w:basedOn w:val="a"/>
    <w:qFormat/>
    <w:rPr>
      <w:sz w:val="20"/>
    </w:rPr>
  </w:style>
  <w:style w:type="paragraph" w:customStyle="1" w:styleId="Internetlink1">
    <w:name w:val="Internet link1"/>
    <w:qFormat/>
    <w:rPr>
      <w:color w:val="0000FF"/>
      <w:u w:val="single"/>
    </w:rPr>
  </w:style>
  <w:style w:type="paragraph" w:customStyle="1" w:styleId="Contents52">
    <w:name w:val="Contents 52"/>
    <w:qFormat/>
    <w:rPr>
      <w:rFonts w:ascii="XO Thames" w:hAnsi="XO Thames"/>
      <w:sz w:val="28"/>
    </w:rPr>
  </w:style>
  <w:style w:type="paragraph" w:customStyle="1" w:styleId="ConsPlusCell11">
    <w:name w:val="ConsPlusCell11"/>
    <w:qFormat/>
    <w:rPr>
      <w:rFonts w:ascii="Arial" w:hAnsi="Arial"/>
    </w:rPr>
  </w:style>
  <w:style w:type="paragraph" w:customStyle="1" w:styleId="TimesNewRoman11">
    <w:name w:val="Times New Roman11"/>
    <w:basedOn w:val="ConsPlusCell11"/>
    <w:qFormat/>
    <w:pPr>
      <w:numPr>
        <w:numId w:val="8"/>
      </w:numPr>
      <w:ind w:left="315" w:hanging="283"/>
    </w:pPr>
    <w:rPr>
      <w:rFonts w:ascii="Times New Roman" w:hAnsi="Times New Roman"/>
      <w:sz w:val="24"/>
    </w:rPr>
  </w:style>
  <w:style w:type="paragraph" w:customStyle="1" w:styleId="HeaderandFooter1">
    <w:name w:val="Header and Footer1"/>
    <w:qFormat/>
    <w:rPr>
      <w:rFonts w:ascii="XO Thames" w:hAnsi="XO Thames"/>
    </w:rPr>
  </w:style>
  <w:style w:type="paragraph" w:customStyle="1" w:styleId="HeaderandFooter2">
    <w:name w:val="Header and Footer2"/>
    <w:basedOn w:val="a"/>
    <w:qFormat/>
  </w:style>
  <w:style w:type="paragraph" w:customStyle="1" w:styleId="HeaderandFooter3">
    <w:name w:val="Header and Footer3"/>
    <w:basedOn w:val="a"/>
    <w:qFormat/>
  </w:style>
  <w:style w:type="paragraph" w:customStyle="1" w:styleId="HeaderandFooter4">
    <w:name w:val="Header and Footer4"/>
    <w:basedOn w:val="a"/>
    <w:qFormat/>
  </w:style>
  <w:style w:type="paragraph" w:customStyle="1" w:styleId="HeaderandFooter5">
    <w:name w:val="Header and Footer5"/>
    <w:basedOn w:val="a"/>
    <w:qFormat/>
  </w:style>
  <w:style w:type="paragraph" w:customStyle="1" w:styleId="HeaderandFooter6">
    <w:name w:val="Header and Footer6"/>
    <w:basedOn w:val="a"/>
    <w:qFormat/>
  </w:style>
  <w:style w:type="paragraph" w:customStyle="1" w:styleId="HeaderandFooter7">
    <w:name w:val="Header and Footer7"/>
    <w:basedOn w:val="a"/>
    <w:qFormat/>
  </w:style>
  <w:style w:type="paragraph" w:styleId="af">
    <w:name w:val="footer"/>
    <w:basedOn w:val="a"/>
    <w:qFormat/>
    <w:pPr>
      <w:tabs>
        <w:tab w:val="center" w:pos="4677"/>
        <w:tab w:val="right" w:pos="9355"/>
      </w:tabs>
    </w:pPr>
  </w:style>
  <w:style w:type="paragraph" w:customStyle="1" w:styleId="Internetlink2">
    <w:name w:val="Internet link2"/>
    <w:qFormat/>
    <w:rPr>
      <w:color w:val="0000FF"/>
      <w:u w:val="single"/>
    </w:rPr>
  </w:style>
  <w:style w:type="paragraph" w:customStyle="1" w:styleId="Footnote2">
    <w:name w:val="Footnote2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qFormat/>
    <w:rPr>
      <w:rFonts w:ascii="XO Thames" w:hAnsi="XO Thames"/>
      <w:b/>
      <w:sz w:val="28"/>
    </w:rPr>
  </w:style>
  <w:style w:type="paragraph" w:customStyle="1" w:styleId="Textbodyindent2">
    <w:name w:val="Text body indent2"/>
    <w:qFormat/>
    <w:rPr>
      <w:sz w:val="26"/>
    </w:rPr>
  </w:style>
  <w:style w:type="paragraph" w:customStyle="1" w:styleId="Heading411">
    <w:name w:val="Heading 411"/>
    <w:qFormat/>
    <w:rPr>
      <w:b/>
    </w:rPr>
  </w:style>
  <w:style w:type="paragraph" w:styleId="af0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1113">
    <w:name w:val="Основной шрифт абзаца111"/>
    <w:qFormat/>
  </w:style>
  <w:style w:type="paragraph" w:customStyle="1" w:styleId="1114">
    <w:name w:val="Номер страницы111"/>
    <w:basedOn w:val="1113"/>
    <w:qFormat/>
  </w:style>
  <w:style w:type="paragraph" w:styleId="90">
    <w:name w:val="toc 9"/>
    <w:next w:val="a"/>
    <w:qFormat/>
    <w:pPr>
      <w:ind w:left="1600"/>
    </w:pPr>
    <w:rPr>
      <w:rFonts w:ascii="XO Thames" w:hAnsi="XO Thames"/>
      <w:sz w:val="28"/>
    </w:rPr>
  </w:style>
  <w:style w:type="paragraph" w:customStyle="1" w:styleId="BodyText211">
    <w:name w:val="Body Text 211"/>
    <w:basedOn w:val="a"/>
    <w:qFormat/>
    <w:pPr>
      <w:jc w:val="center"/>
    </w:pPr>
    <w:rPr>
      <w:b/>
      <w:sz w:val="25"/>
    </w:rPr>
  </w:style>
  <w:style w:type="paragraph" w:customStyle="1" w:styleId="Heading712">
    <w:name w:val="Heading 712"/>
    <w:qFormat/>
  </w:style>
  <w:style w:type="paragraph" w:customStyle="1" w:styleId="1115">
    <w:name w:val="Гиперссылка111"/>
    <w:qFormat/>
    <w:rPr>
      <w:color w:val="0000FF"/>
      <w:u w:val="single"/>
    </w:rPr>
  </w:style>
  <w:style w:type="paragraph" w:styleId="80">
    <w:name w:val="toc 8"/>
    <w:next w:val="a"/>
    <w:qFormat/>
    <w:pPr>
      <w:ind w:left="1400"/>
    </w:pPr>
    <w:rPr>
      <w:rFonts w:ascii="XO Thames" w:hAnsi="XO Thames"/>
      <w:sz w:val="28"/>
    </w:rPr>
  </w:style>
  <w:style w:type="paragraph" w:customStyle="1" w:styleId="Contents22">
    <w:name w:val="Contents 22"/>
    <w:qFormat/>
    <w:rPr>
      <w:rFonts w:ascii="XO Thames" w:hAnsi="XO Thames"/>
      <w:sz w:val="28"/>
    </w:rPr>
  </w:style>
  <w:style w:type="paragraph" w:customStyle="1" w:styleId="2110">
    <w:name w:val="Гиперссылка211"/>
    <w:qFormat/>
    <w:rPr>
      <w:color w:val="0000FF"/>
      <w:u w:val="single"/>
    </w:rPr>
  </w:style>
  <w:style w:type="paragraph" w:customStyle="1" w:styleId="Normal011">
    <w:name w:val="Normal_011"/>
    <w:qFormat/>
    <w:pPr>
      <w:widowControl w:val="0"/>
      <w:ind w:left="200" w:right="1800"/>
    </w:pPr>
    <w:rPr>
      <w:sz w:val="16"/>
    </w:rPr>
  </w:style>
  <w:style w:type="paragraph" w:customStyle="1" w:styleId="BodyText311">
    <w:name w:val="Body Text 311"/>
    <w:basedOn w:val="a"/>
    <w:qFormat/>
    <w:rPr>
      <w:i/>
      <w:color w:val="FF0000"/>
    </w:rPr>
  </w:style>
  <w:style w:type="paragraph" w:styleId="50">
    <w:name w:val="toc 5"/>
    <w:next w:val="a"/>
    <w:qFormat/>
    <w:pPr>
      <w:ind w:left="800"/>
    </w:pPr>
    <w:rPr>
      <w:rFonts w:ascii="XO Thames" w:hAnsi="XO Thames"/>
      <w:sz w:val="28"/>
    </w:rPr>
  </w:style>
  <w:style w:type="paragraph" w:customStyle="1" w:styleId="Contents62">
    <w:name w:val="Contents 62"/>
    <w:qFormat/>
    <w:rPr>
      <w:rFonts w:ascii="XO Thames" w:hAnsi="XO Thames"/>
      <w:sz w:val="28"/>
    </w:rPr>
  </w:style>
  <w:style w:type="paragraph" w:customStyle="1" w:styleId="BalloonText11">
    <w:name w:val="Balloon Text11"/>
    <w:basedOn w:val="a"/>
    <w:qFormat/>
    <w:rPr>
      <w:rFonts w:ascii="Tahoma" w:hAnsi="Tahoma"/>
      <w:sz w:val="16"/>
    </w:rPr>
  </w:style>
  <w:style w:type="paragraph" w:customStyle="1" w:styleId="1116">
    <w:name w:val="Основной текст111"/>
    <w:basedOn w:val="a"/>
    <w:qFormat/>
    <w:pPr>
      <w:spacing w:before="540" w:after="420" w:line="274" w:lineRule="exact"/>
      <w:ind w:left="600" w:hanging="600"/>
      <w:jc w:val="both"/>
    </w:pPr>
    <w:rPr>
      <w:sz w:val="22"/>
    </w:rPr>
  </w:style>
  <w:style w:type="paragraph" w:customStyle="1" w:styleId="Contents72">
    <w:name w:val="Contents 72"/>
    <w:qFormat/>
    <w:rPr>
      <w:rFonts w:ascii="XO Thames" w:hAnsi="XO Thames"/>
      <w:sz w:val="28"/>
    </w:rPr>
  </w:style>
  <w:style w:type="paragraph" w:customStyle="1" w:styleId="Contents92">
    <w:name w:val="Contents 92"/>
    <w:qFormat/>
    <w:rPr>
      <w:rFonts w:ascii="XO Thames" w:hAnsi="XO Thames"/>
      <w:sz w:val="28"/>
    </w:rPr>
  </w:style>
  <w:style w:type="paragraph" w:styleId="af1">
    <w:name w:val="Subtitle"/>
    <w:next w:val="a"/>
    <w:qFormat/>
    <w:pPr>
      <w:jc w:val="both"/>
    </w:pPr>
    <w:rPr>
      <w:rFonts w:ascii="XO Thames" w:hAnsi="XO Thames"/>
      <w:i/>
      <w:sz w:val="24"/>
    </w:rPr>
  </w:style>
  <w:style w:type="paragraph" w:customStyle="1" w:styleId="ConsPlusTitle11">
    <w:name w:val="ConsPlusTitle11"/>
    <w:qFormat/>
    <w:pPr>
      <w:widowControl w:val="0"/>
    </w:pPr>
    <w:rPr>
      <w:rFonts w:ascii="Arial" w:hAnsi="Arial"/>
      <w:b/>
    </w:rPr>
  </w:style>
  <w:style w:type="paragraph" w:customStyle="1" w:styleId="Header12">
    <w:name w:val="Header12"/>
    <w:qFormat/>
  </w:style>
  <w:style w:type="paragraph" w:styleId="af2">
    <w:name w:val="Title"/>
    <w:next w:val="a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customStyle="1" w:styleId="Footer12">
    <w:name w:val="Footer12"/>
    <w:qFormat/>
  </w:style>
  <w:style w:type="paragraph" w:customStyle="1" w:styleId="Subtitle12">
    <w:name w:val="Subtitle12"/>
    <w:qFormat/>
    <w:rPr>
      <w:rFonts w:ascii="XO Thames" w:hAnsi="XO Thames"/>
      <w:i/>
      <w:sz w:val="24"/>
    </w:rPr>
  </w:style>
  <w:style w:type="paragraph" w:customStyle="1" w:styleId="Contents32">
    <w:name w:val="Contents 32"/>
    <w:qFormat/>
    <w:rPr>
      <w:rFonts w:ascii="XO Thames" w:hAnsi="XO Thames"/>
      <w:sz w:val="28"/>
    </w:rPr>
  </w:style>
  <w:style w:type="paragraph" w:customStyle="1" w:styleId="Contents42">
    <w:name w:val="Contents 42"/>
    <w:qFormat/>
    <w:rPr>
      <w:rFonts w:ascii="XO Thames" w:hAnsi="XO Thames"/>
      <w:sz w:val="28"/>
    </w:rPr>
  </w:style>
  <w:style w:type="paragraph" w:customStyle="1" w:styleId="1117">
    <w:name w:val="Знак сноски111"/>
    <w:qFormat/>
    <w:rPr>
      <w:vertAlign w:val="superscript"/>
    </w:rPr>
  </w:style>
  <w:style w:type="paragraph" w:customStyle="1" w:styleId="13">
    <w:name w:val="Колонтитул1"/>
    <w:qFormat/>
    <w:pPr>
      <w:jc w:val="both"/>
    </w:pPr>
    <w:rPr>
      <w:rFonts w:ascii="XO Thames" w:hAnsi="XO Thames"/>
    </w:rPr>
  </w:style>
  <w:style w:type="paragraph" w:customStyle="1" w:styleId="Heading312">
    <w:name w:val="Heading 312"/>
    <w:qFormat/>
    <w:rPr>
      <w:b/>
    </w:rPr>
  </w:style>
  <w:style w:type="paragraph" w:customStyle="1" w:styleId="DocumentMap11">
    <w:name w:val="Document Map11"/>
    <w:basedOn w:val="a"/>
    <w:qFormat/>
    <w:rPr>
      <w:rFonts w:ascii="Tahoma" w:hAnsi="Tahoma"/>
      <w:sz w:val="20"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character" w:customStyle="1" w:styleId="Heading1Char">
    <w:name w:val="Heading 1 Char"/>
    <w:basedOn w:val="a0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rPr>
      <w:sz w:val="48"/>
      <w:szCs w:val="48"/>
    </w:rPr>
  </w:style>
  <w:style w:type="character" w:customStyle="1" w:styleId="SubtitleChar">
    <w:name w:val="Subtitle Char"/>
    <w:basedOn w:val="a0"/>
    <w:rPr>
      <w:sz w:val="24"/>
      <w:szCs w:val="24"/>
    </w:rPr>
  </w:style>
  <w:style w:type="character" w:customStyle="1" w:styleId="QuoteChar">
    <w:name w:val="Quote Char"/>
    <w:rPr>
      <w:i/>
    </w:rPr>
  </w:style>
  <w:style w:type="character" w:customStyle="1" w:styleId="IntenseQuoteChar">
    <w:name w:val="Intense Quote Char"/>
    <w:rPr>
      <w:i/>
    </w:rPr>
  </w:style>
  <w:style w:type="character" w:customStyle="1" w:styleId="HeaderChar">
    <w:name w:val="Header Char"/>
    <w:basedOn w:val="a0"/>
  </w:style>
  <w:style w:type="character" w:customStyle="1" w:styleId="FooterChar">
    <w:name w:val="Footer Char"/>
    <w:basedOn w:val="a0"/>
  </w:style>
  <w:style w:type="character" w:customStyle="1" w:styleId="CaptionChar">
    <w:name w:val="Caption Char"/>
    <w:basedOn w:val="a0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rPr>
      <w:sz w:val="18"/>
    </w:rPr>
  </w:style>
  <w:style w:type="character" w:customStyle="1" w:styleId="af5">
    <w:name w:val="Символ сноски"/>
    <w:rPr>
      <w:vertAlign w:val="superscript"/>
    </w:rPr>
  </w:style>
  <w:style w:type="character" w:styleId="af6">
    <w:name w:val="footnote reference"/>
    <w:rPr>
      <w:vertAlign w:val="superscript"/>
    </w:rPr>
  </w:style>
  <w:style w:type="character" w:customStyle="1" w:styleId="EndnoteTextChar">
    <w:name w:val="Endnote Text Char"/>
    <w:rPr>
      <w:sz w:val="20"/>
    </w:rPr>
  </w:style>
  <w:style w:type="character" w:customStyle="1" w:styleId="af7">
    <w:name w:val="Символ концевой сноски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Contents2">
    <w:name w:val="Contents 2"/>
    <w:rPr>
      <w:rFonts w:ascii="XO Thames" w:hAnsi="XO Thames"/>
      <w:color w:val="000000"/>
      <w:spacing w:val="0"/>
      <w:sz w:val="28"/>
    </w:rPr>
  </w:style>
  <w:style w:type="character" w:customStyle="1" w:styleId="BlockText1">
    <w:name w:val="Block Text1"/>
  </w:style>
  <w:style w:type="character" w:customStyle="1" w:styleId="14">
    <w:name w:val="Знак1"/>
    <w:rPr>
      <w:rFonts w:ascii="Tahoma" w:hAnsi="Tahoma"/>
      <w:sz w:val="20"/>
    </w:rPr>
  </w:style>
  <w:style w:type="character" w:customStyle="1" w:styleId="Contents4">
    <w:name w:val="Contents 4"/>
    <w:rPr>
      <w:rFonts w:ascii="XO Thames" w:hAnsi="XO Thames"/>
      <w:color w:val="000000"/>
      <w:spacing w:val="0"/>
      <w:sz w:val="28"/>
    </w:rPr>
  </w:style>
  <w:style w:type="character" w:customStyle="1" w:styleId="Heading71">
    <w:name w:val="Heading 71"/>
  </w:style>
  <w:style w:type="character" w:customStyle="1" w:styleId="Textbody">
    <w:name w:val="Text body"/>
  </w:style>
  <w:style w:type="character" w:customStyle="1" w:styleId="Contents6">
    <w:name w:val="Contents 6"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rPr>
      <w:rFonts w:ascii="XO Thames" w:hAnsi="XO Thames"/>
      <w:color w:val="000000"/>
      <w:spacing w:val="0"/>
      <w:sz w:val="28"/>
    </w:rPr>
  </w:style>
  <w:style w:type="character" w:customStyle="1" w:styleId="112">
    <w:name w:val="Обычный11"/>
    <w:rPr>
      <w:rFonts w:ascii="Times New Roman" w:hAnsi="Times New Roman"/>
      <w:color w:val="000000"/>
      <w:spacing w:val="0"/>
      <w:sz w:val="24"/>
    </w:rPr>
  </w:style>
  <w:style w:type="character" w:customStyle="1" w:styleId="Heading11">
    <w:name w:val="Heading 11"/>
    <w:rPr>
      <w:rFonts w:ascii="Arial" w:hAnsi="Arial"/>
      <w:b/>
      <w:sz w:val="32"/>
    </w:rPr>
  </w:style>
  <w:style w:type="character" w:customStyle="1" w:styleId="Heading31">
    <w:name w:val="Heading 31"/>
    <w:rPr>
      <w:b/>
    </w:rPr>
  </w:style>
  <w:style w:type="character" w:customStyle="1" w:styleId="Heading51">
    <w:name w:val="Heading 51"/>
    <w:rPr>
      <w:b/>
      <w:color w:val="000080"/>
    </w:rPr>
  </w:style>
  <w:style w:type="character" w:customStyle="1" w:styleId="Contents8">
    <w:name w:val="Contents 8"/>
    <w:rPr>
      <w:rFonts w:ascii="XO Thames" w:hAnsi="XO Thames"/>
      <w:sz w:val="28"/>
    </w:rPr>
  </w:style>
  <w:style w:type="character" w:customStyle="1" w:styleId="BodyTextIndent31">
    <w:name w:val="Body Text Indent 31"/>
  </w:style>
  <w:style w:type="character" w:customStyle="1" w:styleId="Textbody1">
    <w:name w:val="Text body1"/>
  </w:style>
  <w:style w:type="character" w:customStyle="1" w:styleId="Title1">
    <w:name w:val="Title1"/>
    <w:rPr>
      <w:rFonts w:ascii="XO Thames" w:hAnsi="XO Thames"/>
      <w:b/>
      <w:caps/>
      <w:sz w:val="40"/>
    </w:rPr>
  </w:style>
  <w:style w:type="character" w:customStyle="1" w:styleId="Contents1">
    <w:name w:val="Contents 1"/>
    <w:rPr>
      <w:rFonts w:ascii="XO Thames" w:hAnsi="XO Thames"/>
      <w:b/>
      <w:sz w:val="28"/>
    </w:rPr>
  </w:style>
  <w:style w:type="character" w:customStyle="1" w:styleId="Heading61">
    <w:name w:val="Heading 61"/>
    <w:rPr>
      <w:b/>
      <w:sz w:val="22"/>
    </w:rPr>
  </w:style>
  <w:style w:type="character" w:customStyle="1" w:styleId="ConsPlusNonformat1">
    <w:name w:val="ConsPlusNonformat1"/>
    <w:rPr>
      <w:rFonts w:ascii="Courier New" w:hAnsi="Courier New"/>
      <w:color w:val="000000"/>
      <w:spacing w:val="0"/>
      <w:sz w:val="20"/>
    </w:rPr>
  </w:style>
  <w:style w:type="character" w:customStyle="1" w:styleId="ListParagraph1">
    <w:name w:val="List Paragraph1"/>
    <w:rPr>
      <w:rFonts w:ascii="Calibri" w:hAnsi="Calibri"/>
      <w:sz w:val="22"/>
    </w:rPr>
  </w:style>
  <w:style w:type="character" w:customStyle="1" w:styleId="BodyTextIndent21">
    <w:name w:val="Body Text Indent 21"/>
  </w:style>
  <w:style w:type="character" w:customStyle="1" w:styleId="Textbodyindent">
    <w:name w:val="Text body indent"/>
    <w:rPr>
      <w:sz w:val="26"/>
    </w:rPr>
  </w:style>
  <w:style w:type="character" w:customStyle="1" w:styleId="Contents3">
    <w:name w:val="Contents 3"/>
    <w:rPr>
      <w:rFonts w:ascii="XO Thames" w:hAnsi="XO Thames"/>
      <w:color w:val="000000"/>
      <w:spacing w:val="0"/>
      <w:sz w:val="28"/>
    </w:rPr>
  </w:style>
  <w:style w:type="character" w:customStyle="1" w:styleId="Heading21">
    <w:name w:val="Heading 21"/>
    <w:rPr>
      <w:b/>
    </w:rPr>
  </w:style>
  <w:style w:type="character" w:customStyle="1" w:styleId="DefaultParagraphFont1">
    <w:name w:val="Default Paragraph Font1"/>
    <w:rPr>
      <w:rFonts w:ascii="Times New Roman" w:hAnsi="Times New Roman"/>
      <w:color w:val="000000"/>
      <w:spacing w:val="0"/>
      <w:sz w:val="20"/>
    </w:rPr>
  </w:style>
  <w:style w:type="character" w:customStyle="1" w:styleId="210">
    <w:name w:val="Основной шрифт абзаца21"/>
    <w:rPr>
      <w:rFonts w:ascii="Times New Roman" w:hAnsi="Times New Roman"/>
      <w:color w:val="000000"/>
      <w:spacing w:val="0"/>
      <w:sz w:val="20"/>
    </w:rPr>
  </w:style>
  <w:style w:type="character" w:customStyle="1" w:styleId="Footnote1">
    <w:name w:val="Footnote1"/>
    <w:rPr>
      <w:sz w:val="20"/>
    </w:rPr>
  </w:style>
  <w:style w:type="character" w:customStyle="1" w:styleId="Heading52">
    <w:name w:val="Heading 52"/>
    <w:rPr>
      <w:b/>
      <w:color w:val="000080"/>
    </w:rPr>
  </w:style>
  <w:style w:type="character" w:customStyle="1" w:styleId="Internetlink">
    <w:name w:val="Internet link"/>
    <w:rPr>
      <w:rFonts w:ascii="Times New Roman" w:hAnsi="Times New Roman"/>
      <w:color w:val="0000FF"/>
      <w:spacing w:val="0"/>
      <w:sz w:val="20"/>
      <w:u w:val="single"/>
    </w:rPr>
  </w:style>
  <w:style w:type="character" w:customStyle="1" w:styleId="22">
    <w:name w:val="Заголовок2"/>
    <w:rPr>
      <w:rFonts w:ascii="Open Sans" w:hAnsi="Open Sans"/>
      <w:sz w:val="28"/>
    </w:rPr>
  </w:style>
  <w:style w:type="character" w:customStyle="1" w:styleId="Contents5">
    <w:name w:val="Contents 5"/>
    <w:rPr>
      <w:rFonts w:ascii="XO Thames" w:hAnsi="XO Thames"/>
      <w:sz w:val="28"/>
    </w:rPr>
  </w:style>
  <w:style w:type="character" w:customStyle="1" w:styleId="Heading12">
    <w:name w:val="Heading 12"/>
    <w:rPr>
      <w:rFonts w:ascii="Arial" w:hAnsi="Arial"/>
      <w:b/>
      <w:sz w:val="32"/>
    </w:rPr>
  </w:style>
  <w:style w:type="character" w:customStyle="1" w:styleId="ConsPlusCell1">
    <w:name w:val="ConsPlusCell1"/>
    <w:rPr>
      <w:rFonts w:ascii="Arial" w:hAnsi="Arial"/>
      <w:color w:val="000000"/>
      <w:spacing w:val="0"/>
      <w:sz w:val="20"/>
    </w:rPr>
  </w:style>
  <w:style w:type="character" w:customStyle="1" w:styleId="TimesNewRoman1">
    <w:name w:val="Times New Roman1"/>
    <w:basedOn w:val="ConsPlusCell1"/>
    <w:rPr>
      <w:rFonts w:ascii="Times New Roman" w:hAnsi="Times New Roman"/>
      <w:color w:val="000000"/>
      <w:spacing w:val="0"/>
      <w:sz w:val="24"/>
    </w:rPr>
  </w:style>
  <w:style w:type="character" w:customStyle="1" w:styleId="Footer1">
    <w:name w:val="Footer1"/>
  </w:style>
  <w:style w:type="character" w:styleId="af9">
    <w:name w:val="Hyperlink"/>
    <w:rPr>
      <w:color w:val="0000FF"/>
      <w:u w:val="single"/>
    </w:rPr>
  </w:style>
  <w:style w:type="character" w:customStyle="1" w:styleId="Footnote">
    <w:name w:val="Footnote"/>
    <w:rPr>
      <w:rFonts w:ascii="XO Thames" w:hAnsi="XO Thames"/>
      <w:sz w:val="22"/>
    </w:rPr>
  </w:style>
  <w:style w:type="character" w:customStyle="1" w:styleId="Contents11">
    <w:name w:val="Contents 11"/>
    <w:rPr>
      <w:rFonts w:ascii="XO Thames" w:hAnsi="XO Thames"/>
      <w:b/>
      <w:color w:val="000000"/>
      <w:spacing w:val="0"/>
      <w:sz w:val="28"/>
    </w:rPr>
  </w:style>
  <w:style w:type="character" w:customStyle="1" w:styleId="Textbodyindent1">
    <w:name w:val="Text body indent1"/>
    <w:rPr>
      <w:sz w:val="26"/>
    </w:rPr>
  </w:style>
  <w:style w:type="character" w:customStyle="1" w:styleId="Heading41">
    <w:name w:val="Heading 41"/>
    <w:rPr>
      <w:b/>
    </w:rPr>
  </w:style>
  <w:style w:type="character" w:customStyle="1" w:styleId="Header1">
    <w:name w:val="Header1"/>
  </w:style>
  <w:style w:type="character" w:customStyle="1" w:styleId="HeaderandFooter">
    <w:name w:val="Header and Footer"/>
    <w:rPr>
      <w:rFonts w:ascii="XO Thames" w:hAnsi="XO Thames"/>
    </w:rPr>
  </w:style>
  <w:style w:type="character" w:customStyle="1" w:styleId="Contents9">
    <w:name w:val="Contents 9"/>
    <w:rPr>
      <w:rFonts w:ascii="XO Thames" w:hAnsi="XO Thames"/>
      <w:color w:val="000000"/>
      <w:spacing w:val="0"/>
      <w:sz w:val="28"/>
    </w:rPr>
  </w:style>
  <w:style w:type="character" w:customStyle="1" w:styleId="BodyText21">
    <w:name w:val="Body Text 21"/>
    <w:rPr>
      <w:b/>
      <w:sz w:val="25"/>
    </w:rPr>
  </w:style>
  <w:style w:type="character" w:customStyle="1" w:styleId="Heading711">
    <w:name w:val="Heading 711"/>
  </w:style>
  <w:style w:type="character" w:customStyle="1" w:styleId="Contents81">
    <w:name w:val="Contents 81"/>
    <w:rPr>
      <w:rFonts w:ascii="XO Thames" w:hAnsi="XO Thames"/>
      <w:color w:val="000000"/>
      <w:spacing w:val="0"/>
      <w:sz w:val="28"/>
    </w:rPr>
  </w:style>
  <w:style w:type="character" w:customStyle="1" w:styleId="Caption1">
    <w:name w:val="Caption1"/>
    <w:rPr>
      <w:i/>
      <w:sz w:val="24"/>
    </w:rPr>
  </w:style>
  <w:style w:type="character" w:customStyle="1" w:styleId="Contents21">
    <w:name w:val="Contents 21"/>
    <w:rPr>
      <w:rFonts w:ascii="XO Thames" w:hAnsi="XO Thames"/>
      <w:sz w:val="28"/>
    </w:rPr>
  </w:style>
  <w:style w:type="character" w:customStyle="1" w:styleId="212">
    <w:name w:val="Гиперссылка21"/>
    <w:rPr>
      <w:rFonts w:ascii="Times New Roman" w:hAnsi="Times New Roman"/>
      <w:color w:val="0000FF"/>
      <w:spacing w:val="0"/>
      <w:sz w:val="20"/>
      <w:u w:val="single"/>
    </w:rPr>
  </w:style>
  <w:style w:type="character" w:customStyle="1" w:styleId="Normal01">
    <w:name w:val="Normal_01"/>
    <w:rPr>
      <w:rFonts w:ascii="Times New Roman" w:hAnsi="Times New Roman"/>
      <w:color w:val="000000"/>
      <w:spacing w:val="0"/>
      <w:sz w:val="16"/>
    </w:rPr>
  </w:style>
  <w:style w:type="character" w:customStyle="1" w:styleId="BodyText31">
    <w:name w:val="Body Text 31"/>
    <w:rPr>
      <w:i/>
      <w:color w:val="FF0000"/>
    </w:rPr>
  </w:style>
  <w:style w:type="character" w:customStyle="1" w:styleId="Contents51">
    <w:name w:val="Contents 51"/>
    <w:rPr>
      <w:rFonts w:ascii="XO Thames" w:hAnsi="XO Thames"/>
      <w:color w:val="000000"/>
      <w:spacing w:val="0"/>
      <w:sz w:val="28"/>
    </w:rPr>
  </w:style>
  <w:style w:type="character" w:customStyle="1" w:styleId="Contents61">
    <w:name w:val="Contents 61"/>
    <w:rPr>
      <w:rFonts w:ascii="XO Thames" w:hAnsi="XO Thames"/>
      <w:sz w:val="28"/>
    </w:rPr>
  </w:style>
  <w:style w:type="character" w:customStyle="1" w:styleId="BalloonText1">
    <w:name w:val="Balloon Text1"/>
    <w:rPr>
      <w:rFonts w:ascii="Tahoma" w:hAnsi="Tahoma"/>
      <w:sz w:val="16"/>
    </w:rPr>
  </w:style>
  <w:style w:type="character" w:customStyle="1" w:styleId="Contents71">
    <w:name w:val="Contents 71"/>
    <w:rPr>
      <w:rFonts w:ascii="XO Thames" w:hAnsi="XO Thames"/>
      <w:sz w:val="28"/>
    </w:rPr>
  </w:style>
  <w:style w:type="character" w:customStyle="1" w:styleId="Contents91">
    <w:name w:val="Contents 91"/>
    <w:rPr>
      <w:rFonts w:ascii="XO Thames" w:hAnsi="XO Thames"/>
      <w:sz w:val="28"/>
    </w:rPr>
  </w:style>
  <w:style w:type="character" w:customStyle="1" w:styleId="Subtitle1">
    <w:name w:val="Subtitle1"/>
    <w:rPr>
      <w:rFonts w:ascii="XO Thames" w:hAnsi="XO Thames"/>
      <w:i/>
      <w:color w:val="000000"/>
      <w:spacing w:val="0"/>
      <w:sz w:val="24"/>
    </w:rPr>
  </w:style>
  <w:style w:type="character" w:customStyle="1" w:styleId="23">
    <w:name w:val="Указатель2"/>
  </w:style>
  <w:style w:type="character" w:customStyle="1" w:styleId="ConsPlusTitle1">
    <w:name w:val="ConsPlusTitle1"/>
    <w:rPr>
      <w:rFonts w:ascii="Arial" w:hAnsi="Arial"/>
      <w:b/>
      <w:color w:val="000000"/>
      <w:spacing w:val="0"/>
      <w:sz w:val="20"/>
    </w:rPr>
  </w:style>
  <w:style w:type="character" w:customStyle="1" w:styleId="Header11">
    <w:name w:val="Header11"/>
  </w:style>
  <w:style w:type="character" w:customStyle="1" w:styleId="Title2">
    <w:name w:val="Title2"/>
    <w:rPr>
      <w:rFonts w:ascii="XO Thames" w:hAnsi="XO Thames"/>
      <w:b/>
      <w:caps/>
      <w:color w:val="000000"/>
      <w:spacing w:val="0"/>
      <w:sz w:val="40"/>
    </w:rPr>
  </w:style>
  <w:style w:type="character" w:customStyle="1" w:styleId="Footer11">
    <w:name w:val="Footer11"/>
  </w:style>
  <w:style w:type="character" w:customStyle="1" w:styleId="Heading42">
    <w:name w:val="Heading 42"/>
    <w:rPr>
      <w:b/>
    </w:rPr>
  </w:style>
  <w:style w:type="character" w:customStyle="1" w:styleId="Subtitle11">
    <w:name w:val="Subtitle11"/>
    <w:rPr>
      <w:rFonts w:ascii="XO Thames" w:hAnsi="XO Thames"/>
      <w:i/>
      <w:sz w:val="24"/>
    </w:rPr>
  </w:style>
  <w:style w:type="character" w:customStyle="1" w:styleId="Contents31">
    <w:name w:val="Contents 31"/>
    <w:rPr>
      <w:rFonts w:ascii="XO Thames" w:hAnsi="XO Thames"/>
      <w:sz w:val="28"/>
    </w:rPr>
  </w:style>
  <w:style w:type="character" w:customStyle="1" w:styleId="Contents41">
    <w:name w:val="Contents 41"/>
    <w:rPr>
      <w:rFonts w:ascii="XO Thames" w:hAnsi="XO Thames"/>
      <w:sz w:val="28"/>
    </w:rPr>
  </w:style>
  <w:style w:type="character" w:customStyle="1" w:styleId="afa">
    <w:name w:val="Колонтитул"/>
    <w:rPr>
      <w:rFonts w:ascii="XO Thames" w:hAnsi="XO Thames"/>
      <w:color w:val="000000"/>
      <w:spacing w:val="0"/>
      <w:sz w:val="20"/>
    </w:rPr>
  </w:style>
  <w:style w:type="character" w:customStyle="1" w:styleId="Heading22">
    <w:name w:val="Heading 22"/>
    <w:rPr>
      <w:b/>
    </w:rPr>
  </w:style>
  <w:style w:type="character" w:customStyle="1" w:styleId="List1">
    <w:name w:val="List1"/>
    <w:basedOn w:val="Textbody1"/>
  </w:style>
  <w:style w:type="character" w:customStyle="1" w:styleId="Heading62">
    <w:name w:val="Heading 62"/>
    <w:rPr>
      <w:b/>
      <w:sz w:val="22"/>
    </w:rPr>
  </w:style>
  <w:style w:type="character" w:customStyle="1" w:styleId="Heading311">
    <w:name w:val="Heading 311"/>
    <w:rPr>
      <w:b/>
    </w:rPr>
  </w:style>
  <w:style w:type="character" w:customStyle="1" w:styleId="DocumentMap1">
    <w:name w:val="Document Map1"/>
    <w:rPr>
      <w:rFonts w:ascii="Tahoma" w:hAnsi="Tahoma"/>
      <w:sz w:val="20"/>
    </w:rPr>
  </w:style>
  <w:style w:type="table" w:styleId="a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c">
    <w:name w:val="Светлая сетка таблицы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5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solid" w:color="F2F2F2" w:fill="auto"/>
      </w:tcPr>
    </w:tblStylePr>
    <w:tblStylePr w:type="band1Horz">
      <w:tblPr/>
      <w:tcPr>
        <w:shd w:val="solid" w:color="F2F2F2" w:fill="auto"/>
      </w:tcPr>
    </w:tblStylePr>
  </w:style>
  <w:style w:type="table" w:styleId="24">
    <w:name w:val="Table Simple 2"/>
    <w:basedOn w:val="a1"/>
    <w:tblPr>
      <w:tblBorders>
        <w:top w:val="single" w:sz="4" w:space="0" w:color="000000"/>
        <w:bottom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Table Simple 3"/>
    <w:basedOn w:val="a1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bottom w:val="single" w:sz="4" w:space="0" w:color="40404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2F2F2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2F2F2" w:fill="auto"/>
      </w:tcPr>
    </w:tblStylePr>
  </w:style>
  <w:style w:type="table" w:customStyle="1" w:styleId="41">
    <w:name w:val="Простая таблица 4"/>
    <w:basedOn w:val="a1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2F2F2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2F2F2" w:fill="auto"/>
      </w:tcPr>
    </w:tblStylePr>
  </w:style>
  <w:style w:type="table" w:customStyle="1" w:styleId="51">
    <w:name w:val="Простая таблица 5"/>
    <w:basedOn w:val="a1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bottom w:val="single" w:sz="4" w:space="0" w:color="404040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2F2F2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2F2F2" w:fill="auto"/>
      </w:tcPr>
    </w:tblStylePr>
  </w:style>
  <w:style w:type="table" w:customStyle="1" w:styleId="16">
    <w:name w:val="Сетка таблицы 1 светлая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113">
    <w:name w:val="Сетка таблицы 1 светлая — акцент 1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120">
    <w:name w:val="Сетка таблицы 1 светлая — акцент 2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130">
    <w:name w:val="Сетка таблицы 1 светлая — акцент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140">
    <w:name w:val="Сетка таблицы 1 светлая — акцент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150">
    <w:name w:val="Сетка таблицы 1 светлая — акцент 5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160">
    <w:name w:val="Сетка таблицы 1 светлая — акцент 6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styleId="25">
    <w:name w:val="Table Grid 2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CBCBC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CBCBCB" w:fill="auto"/>
      </w:tcPr>
    </w:tblStylePr>
  </w:style>
  <w:style w:type="table" w:customStyle="1" w:styleId="213">
    <w:name w:val="Сетка таблицы 2 — акцент 1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AE5F1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AE5F1" w:fill="auto"/>
      </w:tcPr>
    </w:tblStylePr>
  </w:style>
  <w:style w:type="table" w:customStyle="1" w:styleId="220">
    <w:name w:val="Сетка таблицы 2 — акцент 2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2DCD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2DCDB" w:fill="auto"/>
      </w:tcPr>
    </w:tblStylePr>
  </w:style>
  <w:style w:type="table" w:customStyle="1" w:styleId="230">
    <w:name w:val="Сетка таблицы 2 — акцент 3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AF0DD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AF0DD" w:fill="auto"/>
      </w:tcPr>
    </w:tblStylePr>
  </w:style>
  <w:style w:type="table" w:customStyle="1" w:styleId="240">
    <w:name w:val="Сетка таблицы 2 — акцент 4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5DFEC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5DFEC" w:fill="auto"/>
      </w:tcPr>
    </w:tblStylePr>
  </w:style>
  <w:style w:type="table" w:customStyle="1" w:styleId="250">
    <w:name w:val="Сетка таблицы 2 — акцент 5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AEEF3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AEEF3" w:fill="auto"/>
      </w:tcPr>
    </w:tblStylePr>
  </w:style>
  <w:style w:type="table" w:customStyle="1" w:styleId="26">
    <w:name w:val="Сетка таблицы 2 — акцент 6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DE9D8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DE9D8" w:fill="auto"/>
      </w:tcPr>
    </w:tblStylePr>
  </w:style>
  <w:style w:type="table" w:styleId="32">
    <w:name w:val="Table Grid 3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shd w:val="clear" w:color="auto" w:fill="auto"/>
      </w:tcPr>
    </w:tblStylePr>
    <w:tblStylePr w:type="lastRow">
      <w:rPr>
        <w:b/>
        <w:color w:val="404040"/>
      </w:rPr>
      <w:tblPr/>
      <w:tcPr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shd w:val="clear" w:color="auto" w:fill="auto"/>
      </w:tcPr>
    </w:tblStylePr>
    <w:tblStylePr w:type="lastCol">
      <w:rPr>
        <w:i/>
        <w:color w:val="404040"/>
      </w:rPr>
      <w:tblPr/>
      <w:tcPr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CBCBC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CBCBCB" w:fill="auto"/>
      </w:tcPr>
    </w:tblStylePr>
  </w:style>
  <w:style w:type="table" w:customStyle="1" w:styleId="310">
    <w:name w:val="Сетка таблицы 3 — акцент 1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shd w:val="clear" w:color="auto" w:fill="auto"/>
      </w:tcPr>
    </w:tblStylePr>
    <w:tblStylePr w:type="lastRow">
      <w:rPr>
        <w:b/>
        <w:color w:val="404040"/>
      </w:rPr>
      <w:tblPr/>
      <w:tcPr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shd w:val="clear" w:color="auto" w:fill="auto"/>
      </w:tcPr>
    </w:tblStylePr>
    <w:tblStylePr w:type="lastCol">
      <w:rPr>
        <w:i/>
        <w:color w:val="404040"/>
      </w:rPr>
      <w:tblPr/>
      <w:tcPr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AE5F1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AE5F1" w:fill="auto"/>
      </w:tcPr>
    </w:tblStylePr>
  </w:style>
  <w:style w:type="table" w:customStyle="1" w:styleId="320">
    <w:name w:val="Сетка таблицы 3 — акцент 2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shd w:val="clear" w:color="auto" w:fill="auto"/>
      </w:tcPr>
    </w:tblStylePr>
    <w:tblStylePr w:type="lastRow">
      <w:rPr>
        <w:b/>
        <w:color w:val="404040"/>
      </w:rPr>
      <w:tblPr/>
      <w:tcPr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shd w:val="clear" w:color="auto" w:fill="auto"/>
      </w:tcPr>
    </w:tblStylePr>
    <w:tblStylePr w:type="lastCol">
      <w:rPr>
        <w:i/>
        <w:color w:val="404040"/>
      </w:rPr>
      <w:tblPr/>
      <w:tcPr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2DCD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2DCDB" w:fill="auto"/>
      </w:tcPr>
    </w:tblStylePr>
  </w:style>
  <w:style w:type="table" w:customStyle="1" w:styleId="33">
    <w:name w:val="Сетка таблицы 3 — акцент 3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shd w:val="clear" w:color="auto" w:fill="auto"/>
      </w:tcPr>
    </w:tblStylePr>
    <w:tblStylePr w:type="lastRow">
      <w:rPr>
        <w:b/>
        <w:color w:val="404040"/>
      </w:rPr>
      <w:tblPr/>
      <w:tcPr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shd w:val="clear" w:color="auto" w:fill="auto"/>
      </w:tcPr>
    </w:tblStylePr>
    <w:tblStylePr w:type="lastCol">
      <w:rPr>
        <w:i/>
        <w:color w:val="404040"/>
      </w:rPr>
      <w:tblPr/>
      <w:tcPr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AF0DD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AF0DD" w:fill="auto"/>
      </w:tcPr>
    </w:tblStylePr>
  </w:style>
  <w:style w:type="table" w:customStyle="1" w:styleId="34">
    <w:name w:val="Сетка таблицы 3 — акцент 4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shd w:val="clear" w:color="auto" w:fill="auto"/>
      </w:tcPr>
    </w:tblStylePr>
    <w:tblStylePr w:type="lastRow">
      <w:rPr>
        <w:b/>
        <w:color w:val="404040"/>
      </w:rPr>
      <w:tblPr/>
      <w:tcPr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shd w:val="clear" w:color="auto" w:fill="auto"/>
      </w:tcPr>
    </w:tblStylePr>
    <w:tblStylePr w:type="lastCol">
      <w:rPr>
        <w:i/>
        <w:color w:val="404040"/>
      </w:rPr>
      <w:tblPr/>
      <w:tcPr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5DFEC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5DFEC" w:fill="auto"/>
      </w:tcPr>
    </w:tblStylePr>
  </w:style>
  <w:style w:type="table" w:customStyle="1" w:styleId="35">
    <w:name w:val="Сетка таблицы 3 — акцент 5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shd w:val="clear" w:color="auto" w:fill="auto"/>
      </w:tcPr>
    </w:tblStylePr>
    <w:tblStylePr w:type="lastRow">
      <w:rPr>
        <w:b/>
        <w:color w:val="404040"/>
      </w:rPr>
      <w:tblPr/>
      <w:tcPr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shd w:val="clear" w:color="auto" w:fill="auto"/>
      </w:tcPr>
    </w:tblStylePr>
    <w:tblStylePr w:type="lastCol">
      <w:rPr>
        <w:i/>
        <w:color w:val="404040"/>
      </w:rPr>
      <w:tblPr/>
      <w:tcPr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AEEF3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AEEF3" w:fill="auto"/>
      </w:tcPr>
    </w:tblStylePr>
  </w:style>
  <w:style w:type="table" w:customStyle="1" w:styleId="36">
    <w:name w:val="Сетка таблицы 3 — акцент 6"/>
    <w:basedOn w:val="a1"/>
    <w:tblPr>
      <w:tblStyleRowBandSize w:val="1"/>
      <w:tblStyleColBandSize w:val="1"/>
      <w:tblBorders>
        <w:bottom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04040"/>
      </w:rPr>
      <w:tblPr/>
      <w:tcPr>
        <w:shd w:val="clear" w:color="auto" w:fill="auto"/>
      </w:tcPr>
    </w:tblStylePr>
    <w:tblStylePr w:type="lastRow">
      <w:rPr>
        <w:b/>
        <w:color w:val="404040"/>
      </w:rPr>
      <w:tblPr/>
      <w:tcPr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shd w:val="clear" w:color="auto" w:fill="auto"/>
      </w:tcPr>
    </w:tblStylePr>
    <w:tblStylePr w:type="lastCol">
      <w:rPr>
        <w:i/>
        <w:color w:val="404040"/>
      </w:rPr>
      <w:tblPr/>
      <w:tcPr>
        <w:shd w:val="clear" w:color="auto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DE9D8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DE9D8" w:fill="auto"/>
      </w:tcPr>
    </w:tblStylePr>
  </w:style>
  <w:style w:type="table" w:styleId="42">
    <w:name w:val="Table Grid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solid" w:color="000000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CBCBC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CBCBCB" w:fill="auto"/>
      </w:tcPr>
    </w:tblStylePr>
  </w:style>
  <w:style w:type="table" w:customStyle="1" w:styleId="410">
    <w:name w:val="Сетка таблицы 4 — акцент 1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solid" w:color="5D8DC2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CE6F1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CE6F1" w:fill="auto"/>
      </w:tcPr>
    </w:tblStylePr>
  </w:style>
  <w:style w:type="table" w:customStyle="1" w:styleId="420">
    <w:name w:val="Сетка таблицы 4 — акцент 2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solid" w:color="D99694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2DCD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2DCDB" w:fill="auto"/>
      </w:tcPr>
    </w:tblStylePr>
  </w:style>
  <w:style w:type="table" w:customStyle="1" w:styleId="43">
    <w:name w:val="Сетка таблицы 4 — акцент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solid" w:color="9BBA59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AF0DD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AF0DD" w:fill="auto"/>
      </w:tcPr>
    </w:tblStylePr>
  </w:style>
  <w:style w:type="table" w:customStyle="1" w:styleId="44">
    <w:name w:val="Сетка таблицы 4 — акцент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solid" w:color="B2A1C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5DFEC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5DFEC" w:fill="auto"/>
      </w:tcPr>
    </w:tblStylePr>
  </w:style>
  <w:style w:type="table" w:customStyle="1" w:styleId="45">
    <w:name w:val="Сетка таблицы 4 — акцент 5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solid" w:color="4BACC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AEEF3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AEEF3" w:fill="auto"/>
      </w:tcPr>
    </w:tblStylePr>
  </w:style>
  <w:style w:type="table" w:customStyle="1" w:styleId="46">
    <w:name w:val="Сетка таблицы 4 — акцент 6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solid" w:color="F7964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DE9D8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DE9D8" w:fill="auto"/>
      </w:tcPr>
    </w:tblStylePr>
  </w:style>
  <w:style w:type="table" w:customStyle="1" w:styleId="52">
    <w:name w:val="Сетка таблицы 5 темная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solid" w:color="BFBFBF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000000" w:fill="auto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</w:tcBorders>
        <w:shd w:val="solid" w:color="000000" w:fill="auto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solid" w:color="000000" w:fill="auto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solid" w:color="000000" w:fill="auto"/>
      </w:tcPr>
    </w:tblStylePr>
    <w:tblStylePr w:type="band1Vert">
      <w:tblPr/>
      <w:tcPr>
        <w:shd w:val="solid" w:color="8A8A8A" w:fill="auto"/>
      </w:tcPr>
    </w:tblStylePr>
    <w:tblStylePr w:type="band1Horz">
      <w:tblPr/>
      <w:tcPr>
        <w:shd w:val="solid" w:color="8A8A8A" w:fill="auto"/>
      </w:tcPr>
    </w:tblStylePr>
  </w:style>
  <w:style w:type="table" w:customStyle="1" w:styleId="510">
    <w:name w:val="Сетка таблицы 5 темная — акцент 1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solid" w:color="DAE5F1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4F81BD" w:fill="auto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</w:tcBorders>
        <w:shd w:val="solid" w:color="4F81BD" w:fill="auto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solid" w:color="4F81BD" w:fill="auto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solid" w:color="4F81BD" w:fill="auto"/>
      </w:tcPr>
    </w:tblStylePr>
    <w:tblStylePr w:type="band1Vert">
      <w:tblPr/>
      <w:tcPr>
        <w:shd w:val="solid" w:color="ADC5E0" w:fill="auto"/>
      </w:tcPr>
    </w:tblStylePr>
    <w:tblStylePr w:type="band1Horz">
      <w:tblPr/>
      <w:tcPr>
        <w:shd w:val="solid" w:color="ADC5E0" w:fill="auto"/>
      </w:tcPr>
    </w:tblStylePr>
  </w:style>
  <w:style w:type="table" w:customStyle="1" w:styleId="520">
    <w:name w:val="Сетка таблицы 5 темная — акцент 2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solid" w:color="F2DCDB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C0504D" w:fill="auto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</w:tcBorders>
        <w:shd w:val="solid" w:color="C0504D" w:fill="auto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solid" w:color="C0504D" w:fill="auto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solid" w:color="C0504D" w:fill="auto"/>
      </w:tcPr>
    </w:tblStylePr>
    <w:tblStylePr w:type="band1Vert">
      <w:tblPr/>
      <w:tcPr>
        <w:shd w:val="solid" w:color="E1ADAC" w:fill="auto"/>
      </w:tcPr>
    </w:tblStylePr>
    <w:tblStylePr w:type="band1Horz">
      <w:tblPr/>
      <w:tcPr>
        <w:shd w:val="solid" w:color="E1ADAC" w:fill="auto"/>
      </w:tcPr>
    </w:tblStylePr>
  </w:style>
  <w:style w:type="table" w:customStyle="1" w:styleId="53">
    <w:name w:val="Сетка таблицы 5 темная — акцент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solid" w:color="EAF0DD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9BBB59" w:fill="auto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</w:tcBorders>
        <w:shd w:val="solid" w:color="9BBB59" w:fill="auto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solid" w:color="9BBB59" w:fill="auto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solid" w:color="9BBB59" w:fill="auto"/>
      </w:tcPr>
    </w:tblStylePr>
    <w:tblStylePr w:type="band1Vert">
      <w:tblPr/>
      <w:tcPr>
        <w:shd w:val="solid" w:color="D1DFB2" w:fill="auto"/>
      </w:tcPr>
    </w:tblStylePr>
    <w:tblStylePr w:type="band1Horz">
      <w:tblPr/>
      <w:tcPr>
        <w:shd w:val="solid" w:color="D1DFB2" w:fill="auto"/>
      </w:tcPr>
    </w:tblStylePr>
  </w:style>
  <w:style w:type="table" w:customStyle="1" w:styleId="54">
    <w:name w:val="Сетка таблицы 5 темная — акцент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solid" w:color="E5DFEC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8064A2" w:fill="auto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</w:tcBorders>
        <w:shd w:val="solid" w:color="8064A2" w:fill="auto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solid" w:color="8064A2" w:fill="auto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solid" w:color="8064A2" w:fill="auto"/>
      </w:tcPr>
    </w:tblStylePr>
    <w:tblStylePr w:type="band1Vert">
      <w:tblPr/>
      <w:tcPr>
        <w:shd w:val="solid" w:color="C4B7D4" w:fill="auto"/>
      </w:tcPr>
    </w:tblStylePr>
    <w:tblStylePr w:type="band1Horz">
      <w:tblPr/>
      <w:tcPr>
        <w:shd w:val="solid" w:color="C4B7D4" w:fill="auto"/>
      </w:tcPr>
    </w:tblStylePr>
  </w:style>
  <w:style w:type="table" w:customStyle="1" w:styleId="55">
    <w:name w:val="Сетка таблицы 5 темная — акцент 5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solid" w:color="DAEEF3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4BACC6" w:fill="auto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</w:tcBorders>
        <w:shd w:val="solid" w:color="4BACC6" w:fill="auto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solid" w:color="4BACC6" w:fill="auto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solid" w:color="4BACC6" w:fill="auto"/>
      </w:tcPr>
    </w:tblStylePr>
    <w:tblStylePr w:type="band1Vert">
      <w:tblPr/>
      <w:tcPr>
        <w:shd w:val="solid" w:color="ABD9E4" w:fill="auto"/>
      </w:tcPr>
    </w:tblStylePr>
    <w:tblStylePr w:type="band1Horz">
      <w:tblPr/>
      <w:tcPr>
        <w:shd w:val="solid" w:color="ABD9E4" w:fill="auto"/>
      </w:tcPr>
    </w:tblStylePr>
  </w:style>
  <w:style w:type="table" w:customStyle="1" w:styleId="56">
    <w:name w:val="Сетка таблицы 5 темная — акцент 6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solid" w:color="FDE9D8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F79646" w:fill="auto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/>
        </w:tcBorders>
        <w:shd w:val="solid" w:color="F79646" w:fill="auto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solid" w:color="F79646" w:fill="auto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solid" w:color="F79646" w:fill="auto"/>
      </w:tcPr>
    </w:tblStylePr>
    <w:tblStylePr w:type="band1Vert">
      <w:tblPr/>
      <w:tcPr>
        <w:shd w:val="solid" w:color="FBCDA8" w:fill="auto"/>
      </w:tcPr>
    </w:tblStylePr>
    <w:tblStylePr w:type="band1Horz">
      <w:tblPr/>
      <w:tcPr>
        <w:shd w:val="solid" w:color="FBCDA8" w:fill="auto"/>
      </w:tcPr>
    </w:tblStylePr>
  </w:style>
  <w:style w:type="table" w:customStyle="1" w:styleId="61">
    <w:name w:val="Сетка таблицы 6 цветная"/>
    <w:basedOn w:val="a1"/>
    <w:rPr>
      <w:rFonts w:ascii="Liberation Sans" w:hAnsi="Liberation Sans"/>
      <w:color w:val="404040"/>
      <w:sz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4A4A4A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4A4A4A"/>
      </w:rPr>
    </w:tblStylePr>
    <w:tblStylePr w:type="firstCol">
      <w:rPr>
        <w:b/>
        <w:color w:val="4A4A4A"/>
      </w:rPr>
    </w:tblStylePr>
    <w:tblStylePr w:type="lastCol">
      <w:rPr>
        <w:b/>
        <w:color w:val="4A4A4A"/>
      </w:rPr>
    </w:tblStylePr>
    <w:tblStylePr w:type="band1Vert">
      <w:tblPr/>
      <w:tcPr>
        <w:shd w:val="solid" w:color="CBCBC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CBCBCB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10">
    <w:name w:val="Сетка таблицы 6 цветная — акцент 1"/>
    <w:basedOn w:val="a1"/>
    <w:rPr>
      <w:rFonts w:ascii="Liberation Sans" w:hAnsi="Liberation Sans"/>
      <w:color w:val="404040"/>
      <w:sz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3E70A3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3E70A3"/>
      </w:rPr>
    </w:tblStylePr>
    <w:tblStylePr w:type="firstCol">
      <w:rPr>
        <w:b/>
        <w:color w:val="3E70A3"/>
      </w:rPr>
    </w:tblStylePr>
    <w:tblStylePr w:type="lastCol">
      <w:rPr>
        <w:b/>
        <w:color w:val="3E70A3"/>
      </w:rPr>
    </w:tblStylePr>
    <w:tblStylePr w:type="band1Vert">
      <w:tblPr/>
      <w:tcPr>
        <w:shd w:val="solid" w:color="DAE5F1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AE5F1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2">
    <w:name w:val="Сетка таблицы 6 цветная — акцент 2"/>
    <w:basedOn w:val="a1"/>
    <w:rPr>
      <w:rFonts w:ascii="Liberation Sans" w:hAnsi="Liberation Sans"/>
      <w:color w:val="404040"/>
      <w:sz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9C3A37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9C3A37"/>
      </w:rPr>
    </w:tblStylePr>
    <w:tblStylePr w:type="firstCol">
      <w:rPr>
        <w:b/>
        <w:color w:val="9C3A37"/>
      </w:rPr>
    </w:tblStylePr>
    <w:tblStylePr w:type="lastCol">
      <w:rPr>
        <w:b/>
        <w:color w:val="9C3A37"/>
      </w:rPr>
    </w:tblStylePr>
    <w:tblStylePr w:type="band1Vert">
      <w:tblPr/>
      <w:tcPr>
        <w:shd w:val="solid" w:color="F2DCDB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2DCDB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3">
    <w:name w:val="Сетка таблицы 6 цветная — акцент 3"/>
    <w:basedOn w:val="a1"/>
    <w:rPr>
      <w:rFonts w:ascii="Liberation Sans" w:hAnsi="Liberation Sans"/>
      <w:color w:val="404040"/>
      <w:sz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5C702F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5C702F"/>
      </w:rPr>
    </w:tblStylePr>
    <w:tblStylePr w:type="firstCol">
      <w:rPr>
        <w:b/>
        <w:color w:val="5C702F"/>
      </w:rPr>
    </w:tblStylePr>
    <w:tblStylePr w:type="lastCol">
      <w:rPr>
        <w:b/>
        <w:color w:val="5C702F"/>
      </w:rPr>
    </w:tblStylePr>
    <w:tblStylePr w:type="band1Vert">
      <w:tblPr/>
      <w:tcPr>
        <w:shd w:val="solid" w:color="EAF0DD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AF0DD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4">
    <w:name w:val="Сетка таблицы 6 цветная — акцент 4"/>
    <w:basedOn w:val="a1"/>
    <w:rPr>
      <w:rFonts w:ascii="Liberation Sans" w:hAnsi="Liberation Sans"/>
      <w:color w:val="404040"/>
      <w:sz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664F82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664F82"/>
      </w:rPr>
    </w:tblStylePr>
    <w:tblStylePr w:type="firstCol">
      <w:rPr>
        <w:b/>
        <w:color w:val="664F82"/>
      </w:rPr>
    </w:tblStylePr>
    <w:tblStylePr w:type="lastCol">
      <w:rPr>
        <w:b/>
        <w:color w:val="664F82"/>
      </w:rPr>
    </w:tblStylePr>
    <w:tblStylePr w:type="band1Vert">
      <w:tblPr/>
      <w:tcPr>
        <w:shd w:val="solid" w:color="E5DFEC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5DFEC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5">
    <w:name w:val="Сетка таблицы 6 цветная — акцент 5"/>
    <w:basedOn w:val="a1"/>
    <w:rPr>
      <w:rFonts w:ascii="Liberation Sans" w:hAnsi="Liberation Sans"/>
      <w:color w:val="404040"/>
      <w:sz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266777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266777"/>
      </w:rPr>
    </w:tblStylePr>
    <w:tblStylePr w:type="firstCol">
      <w:rPr>
        <w:b/>
        <w:color w:val="266777"/>
      </w:rPr>
    </w:tblStylePr>
    <w:tblStylePr w:type="lastCol">
      <w:rPr>
        <w:b/>
        <w:color w:val="266777"/>
      </w:rPr>
    </w:tblStylePr>
    <w:tblStylePr w:type="band1Vert">
      <w:tblPr/>
      <w:tcPr>
        <w:shd w:val="solid" w:color="DAEEF3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AEEF3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6">
    <w:name w:val="Сетка таблицы 6 цветная — акцент 6"/>
    <w:basedOn w:val="a1"/>
    <w:rPr>
      <w:rFonts w:ascii="Liberation Sans" w:hAnsi="Liberation Sans"/>
      <w:color w:val="404040"/>
      <w:sz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  <w:color w:val="266777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266777"/>
      </w:rPr>
    </w:tblStylePr>
    <w:tblStylePr w:type="firstCol">
      <w:rPr>
        <w:b/>
        <w:color w:val="266777"/>
      </w:rPr>
    </w:tblStylePr>
    <w:tblStylePr w:type="lastCol">
      <w:rPr>
        <w:b/>
        <w:color w:val="266777"/>
      </w:rPr>
    </w:tblStylePr>
    <w:tblStylePr w:type="band1Vert">
      <w:tblPr/>
      <w:tcPr>
        <w:shd w:val="solid" w:color="FDE9D8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DE9D8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71">
    <w:name w:val="Сетка таблицы 7 цветная"/>
    <w:basedOn w:val="a1"/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4A4A4A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b/>
        <w:color w:val="4A4A4A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4A4A4A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4A4A4A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F2F2F2" w:fill="auto"/>
      </w:tcPr>
    </w:tblStylePr>
    <w:tblStylePr w:type="band1Horz">
      <w:rPr>
        <w:rFonts w:ascii="Liberation Sans" w:hAnsi="Liberation Sans"/>
        <w:color w:val="4A4A4A"/>
        <w:sz w:val="22"/>
      </w:rPr>
      <w:tblPr/>
      <w:tcPr>
        <w:shd w:val="solid" w:color="F2F2F2" w:fill="auto"/>
      </w:tcPr>
    </w:tblStylePr>
    <w:tblStylePr w:type="band2Horz">
      <w:rPr>
        <w:rFonts w:ascii="Liberation Sans" w:hAnsi="Liberation Sans"/>
        <w:color w:val="4A4A4A"/>
        <w:sz w:val="22"/>
      </w:rPr>
    </w:tblStylePr>
  </w:style>
  <w:style w:type="table" w:customStyle="1" w:styleId="710">
    <w:name w:val="Сетка таблицы 7 цветная — акцент 1"/>
    <w:basedOn w:val="a1"/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3E70A3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b/>
        <w:color w:val="3E70A3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3E70A3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3E70A3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DAE5F1" w:fill="auto"/>
      </w:tcPr>
    </w:tblStylePr>
    <w:tblStylePr w:type="band1Horz">
      <w:rPr>
        <w:rFonts w:ascii="Liberation Sans" w:hAnsi="Liberation Sans"/>
        <w:color w:val="3E70A3"/>
        <w:sz w:val="22"/>
      </w:rPr>
      <w:tblPr/>
      <w:tcPr>
        <w:shd w:val="solid" w:color="DAE5F1" w:fill="auto"/>
      </w:tcPr>
    </w:tblStylePr>
    <w:tblStylePr w:type="band2Horz">
      <w:rPr>
        <w:rFonts w:ascii="Liberation Sans" w:hAnsi="Liberation Sans"/>
        <w:color w:val="3E70A3"/>
        <w:sz w:val="22"/>
      </w:rPr>
    </w:tblStylePr>
  </w:style>
  <w:style w:type="table" w:customStyle="1" w:styleId="72">
    <w:name w:val="Сетка таблицы 7 цветная — акцент 2"/>
    <w:basedOn w:val="a1"/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9C3A37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b/>
        <w:color w:val="9C3A37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9C3A37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9C3A37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F2DCDB" w:fill="auto"/>
      </w:tcPr>
    </w:tblStylePr>
    <w:tblStylePr w:type="band1Horz">
      <w:rPr>
        <w:rFonts w:ascii="Liberation Sans" w:hAnsi="Liberation Sans"/>
        <w:color w:val="9C3A37"/>
        <w:sz w:val="22"/>
      </w:rPr>
      <w:tblPr/>
      <w:tcPr>
        <w:shd w:val="solid" w:color="F2DCDB" w:fill="auto"/>
      </w:tcPr>
    </w:tblStylePr>
    <w:tblStylePr w:type="band2Horz">
      <w:rPr>
        <w:rFonts w:ascii="Liberation Sans" w:hAnsi="Liberation Sans"/>
        <w:color w:val="9C3A37"/>
        <w:sz w:val="22"/>
      </w:rPr>
    </w:tblStylePr>
  </w:style>
  <w:style w:type="table" w:customStyle="1" w:styleId="73">
    <w:name w:val="Сетка таблицы 7 цветная — акцент 3"/>
    <w:basedOn w:val="a1"/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5C702F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b/>
        <w:color w:val="5C702F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5C702F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5C702F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EAF0DD" w:fill="auto"/>
      </w:tcPr>
    </w:tblStylePr>
    <w:tblStylePr w:type="band1Horz">
      <w:rPr>
        <w:rFonts w:ascii="Liberation Sans" w:hAnsi="Liberation Sans"/>
        <w:color w:val="5C702F"/>
        <w:sz w:val="22"/>
      </w:rPr>
      <w:tblPr/>
      <w:tcPr>
        <w:shd w:val="solid" w:color="EAF0DD" w:fill="auto"/>
      </w:tcPr>
    </w:tblStylePr>
    <w:tblStylePr w:type="band2Horz">
      <w:rPr>
        <w:rFonts w:ascii="Liberation Sans" w:hAnsi="Liberation Sans"/>
        <w:color w:val="5C702F"/>
        <w:sz w:val="22"/>
      </w:rPr>
    </w:tblStylePr>
  </w:style>
  <w:style w:type="table" w:customStyle="1" w:styleId="74">
    <w:name w:val="Сетка таблицы 7 цветная — акцент 4"/>
    <w:basedOn w:val="a1"/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664F82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b/>
        <w:color w:val="664F82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664F82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664F82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E5DFEC" w:fill="auto"/>
      </w:tcPr>
    </w:tblStylePr>
    <w:tblStylePr w:type="band1Horz">
      <w:rPr>
        <w:rFonts w:ascii="Liberation Sans" w:hAnsi="Liberation Sans"/>
        <w:color w:val="664F82"/>
        <w:sz w:val="22"/>
      </w:rPr>
      <w:tblPr/>
      <w:tcPr>
        <w:shd w:val="solid" w:color="E5DFEC" w:fill="auto"/>
      </w:tcPr>
    </w:tblStylePr>
    <w:tblStylePr w:type="band2Horz">
      <w:rPr>
        <w:rFonts w:ascii="Liberation Sans" w:hAnsi="Liberation Sans"/>
        <w:color w:val="664F82"/>
        <w:sz w:val="22"/>
      </w:rPr>
    </w:tblStylePr>
  </w:style>
  <w:style w:type="table" w:customStyle="1" w:styleId="75">
    <w:name w:val="Сетка таблицы 7 цветная — акцент 5"/>
    <w:basedOn w:val="a1"/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266777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b/>
        <w:color w:val="266777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266777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266777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DAEEF3" w:fill="auto"/>
      </w:tcPr>
    </w:tblStylePr>
    <w:tblStylePr w:type="band1Horz">
      <w:rPr>
        <w:rFonts w:ascii="Liberation Sans" w:hAnsi="Liberation Sans"/>
        <w:color w:val="266777"/>
        <w:sz w:val="22"/>
      </w:rPr>
      <w:tblPr/>
      <w:tcPr>
        <w:shd w:val="solid" w:color="DAEEF3" w:fill="auto"/>
      </w:tcPr>
    </w:tblStylePr>
    <w:tblStylePr w:type="band2Horz">
      <w:rPr>
        <w:rFonts w:ascii="Liberation Sans" w:hAnsi="Liberation Sans"/>
        <w:color w:val="266777"/>
        <w:sz w:val="22"/>
      </w:rPr>
    </w:tblStylePr>
  </w:style>
  <w:style w:type="table" w:customStyle="1" w:styleId="76">
    <w:name w:val="Сетка таблицы 7 цветная — акцент 6"/>
    <w:basedOn w:val="a1"/>
    <w:tblPr>
      <w:tblStyleRowBandSize w:val="1"/>
      <w:tblStyleColBandSize w:val="1"/>
      <w:tblBorders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ascii="Liberation Sans" w:hAnsi="Liberation Sans"/>
        <w:b/>
        <w:color w:val="B05307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b/>
        <w:color w:val="B05307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B05307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B05307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FDE9D8" w:fill="auto"/>
      </w:tcPr>
    </w:tblStylePr>
    <w:tblStylePr w:type="band1Horz">
      <w:rPr>
        <w:rFonts w:ascii="Liberation Sans" w:hAnsi="Liberation Sans"/>
        <w:color w:val="B05307"/>
        <w:sz w:val="22"/>
      </w:rPr>
      <w:tblPr/>
      <w:tcPr>
        <w:shd w:val="solid" w:color="FDE9D8" w:fill="auto"/>
      </w:tcPr>
    </w:tblStylePr>
    <w:tblStylePr w:type="band2Horz">
      <w:rPr>
        <w:rFonts w:ascii="Liberation Sans" w:hAnsi="Liberation Sans"/>
        <w:color w:val="B05307"/>
        <w:sz w:val="22"/>
      </w:rPr>
    </w:tblStylePr>
  </w:style>
  <w:style w:type="table" w:customStyle="1" w:styleId="17">
    <w:name w:val="Список таблицы 1 светлый"/>
    <w:basedOn w:val="a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solid" w:color="BFBFBF" w:fill="auto"/>
      </w:tcPr>
    </w:tblStylePr>
    <w:tblStylePr w:type="band1Horz">
      <w:tblPr/>
      <w:tcPr>
        <w:shd w:val="solid" w:color="BFBFBF" w:fill="auto"/>
      </w:tcPr>
    </w:tblStylePr>
  </w:style>
  <w:style w:type="table" w:customStyle="1" w:styleId="114">
    <w:name w:val="Список таблицы 1 светлый — акцент 1"/>
    <w:basedOn w:val="a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solid" w:color="D3E0EE" w:fill="auto"/>
      </w:tcPr>
    </w:tblStylePr>
    <w:tblStylePr w:type="band1Horz">
      <w:tblPr/>
      <w:tcPr>
        <w:shd w:val="solid" w:color="D3E0EE" w:fill="auto"/>
      </w:tcPr>
    </w:tblStylePr>
  </w:style>
  <w:style w:type="table" w:customStyle="1" w:styleId="121">
    <w:name w:val="Список таблицы 1 светлый — акцент 2"/>
    <w:basedOn w:val="a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solid" w:color="EFD3D2" w:fill="auto"/>
      </w:tcPr>
    </w:tblStylePr>
    <w:tblStylePr w:type="band1Horz">
      <w:tblPr/>
      <w:tcPr>
        <w:shd w:val="solid" w:color="EFD3D2" w:fill="auto"/>
      </w:tcPr>
    </w:tblStylePr>
  </w:style>
  <w:style w:type="table" w:customStyle="1" w:styleId="131">
    <w:name w:val="Список таблицы 1 светлый — акцент 3"/>
    <w:basedOn w:val="a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solid" w:color="E6EED5" w:fill="auto"/>
      </w:tcPr>
    </w:tblStylePr>
    <w:tblStylePr w:type="band1Horz">
      <w:tblPr/>
      <w:tcPr>
        <w:shd w:val="solid" w:color="E6EED5" w:fill="auto"/>
      </w:tcPr>
    </w:tblStylePr>
  </w:style>
  <w:style w:type="table" w:customStyle="1" w:styleId="141">
    <w:name w:val="Список таблицы 1 светлый — акцент 4"/>
    <w:basedOn w:val="a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solid" w:color="DFD8E7" w:fill="auto"/>
      </w:tcPr>
    </w:tblStylePr>
    <w:tblStylePr w:type="band1Horz">
      <w:tblPr/>
      <w:tcPr>
        <w:shd w:val="solid" w:color="DFD8E7" w:fill="auto"/>
      </w:tcPr>
    </w:tblStylePr>
  </w:style>
  <w:style w:type="table" w:customStyle="1" w:styleId="151">
    <w:name w:val="Список таблицы 1 светлый — акцент 5"/>
    <w:basedOn w:val="a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solid" w:color="D1EAF0" w:fill="auto"/>
      </w:tcPr>
    </w:tblStylePr>
    <w:tblStylePr w:type="band1Horz">
      <w:tblPr/>
      <w:tcPr>
        <w:shd w:val="solid" w:color="D1EAF0" w:fill="auto"/>
      </w:tcPr>
    </w:tblStylePr>
  </w:style>
  <w:style w:type="table" w:customStyle="1" w:styleId="161">
    <w:name w:val="Список таблицы 1 светлый — акцент 6"/>
    <w:basedOn w:val="a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solid" w:color="FCE4D1" w:fill="auto"/>
      </w:tcPr>
    </w:tblStylePr>
    <w:tblStylePr w:type="band1Horz">
      <w:tblPr/>
      <w:tcPr>
        <w:shd w:val="solid" w:color="FCE4D1" w:fill="auto"/>
      </w:tcPr>
    </w:tblStylePr>
  </w:style>
  <w:style w:type="table" w:customStyle="1" w:styleId="27">
    <w:name w:val="Список таблицы 2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BFBFBF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BFBFBF" w:fill="auto"/>
      </w:tcPr>
    </w:tblStylePr>
  </w:style>
  <w:style w:type="table" w:customStyle="1" w:styleId="214">
    <w:name w:val="Список таблицы 2 — акцент 1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3E0EE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3E0EE" w:fill="auto"/>
      </w:tcPr>
    </w:tblStylePr>
  </w:style>
  <w:style w:type="table" w:customStyle="1" w:styleId="221">
    <w:name w:val="Список таблицы 2 — акцент 2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FD3D2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FD3D2" w:fill="auto"/>
      </w:tcPr>
    </w:tblStylePr>
  </w:style>
  <w:style w:type="table" w:customStyle="1" w:styleId="231">
    <w:name w:val="Список таблицы 2 — акцент 3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6EED5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6EED5" w:fill="auto"/>
      </w:tcPr>
    </w:tblStylePr>
  </w:style>
  <w:style w:type="table" w:customStyle="1" w:styleId="241">
    <w:name w:val="Список таблицы 2 — акцент 4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FD8E7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FD8E7" w:fill="auto"/>
      </w:tcPr>
    </w:tblStylePr>
  </w:style>
  <w:style w:type="table" w:customStyle="1" w:styleId="251">
    <w:name w:val="Список таблицы 2 — акцент 5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1EAF0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1EAF0" w:fill="auto"/>
      </w:tcPr>
    </w:tblStylePr>
  </w:style>
  <w:style w:type="table" w:customStyle="1" w:styleId="260">
    <w:name w:val="Список таблицы 2 — акцент 6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CE4D1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CE4D1" w:fill="auto"/>
      </w:tcPr>
    </w:tblStylePr>
  </w:style>
  <w:style w:type="table" w:customStyle="1" w:styleId="37">
    <w:name w:val="Список таблицы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00000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">
    <w:name w:val="Список таблицы 3 — акцент 1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4F81B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21">
    <w:name w:val="Список таблицы 3 — акцент 2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D9969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30">
    <w:name w:val="Список таблицы 3 — акцент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C3D69B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40">
    <w:name w:val="Список таблицы 3 — акцент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B2A1C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50">
    <w:name w:val="Список таблицы 3 — акцент 5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91CDDC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60">
    <w:name w:val="Список таблицы 3 — акцент 6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F9BF9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47">
    <w:name w:val="Список таблицы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00000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BFBFBF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BFBFBF" w:fill="auto"/>
      </w:tcPr>
    </w:tblStylePr>
  </w:style>
  <w:style w:type="table" w:customStyle="1" w:styleId="411">
    <w:name w:val="Список таблицы 4 — акцент 1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4F81B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3E0EE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3E0EE" w:fill="auto"/>
      </w:tcPr>
    </w:tblStylePr>
  </w:style>
  <w:style w:type="table" w:customStyle="1" w:styleId="421">
    <w:name w:val="Список таблицы 4 — акцент 2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C0504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FD3D2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FD3D2" w:fill="auto"/>
      </w:tcPr>
    </w:tblStylePr>
  </w:style>
  <w:style w:type="table" w:customStyle="1" w:styleId="430">
    <w:name w:val="Список таблицы 4 — акцент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9BBB59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E6EED5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6EED5" w:fill="auto"/>
      </w:tcPr>
    </w:tblStylePr>
  </w:style>
  <w:style w:type="table" w:customStyle="1" w:styleId="440">
    <w:name w:val="Список таблицы 4 — акцент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8064A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FD8E7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FD8E7" w:fill="auto"/>
      </w:tcPr>
    </w:tblStylePr>
  </w:style>
  <w:style w:type="table" w:customStyle="1" w:styleId="450">
    <w:name w:val="Список таблицы 4 — акцент 5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4BACC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D1EAF0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1EAF0" w:fill="auto"/>
      </w:tcPr>
    </w:tblStylePr>
  </w:style>
  <w:style w:type="table" w:customStyle="1" w:styleId="460">
    <w:name w:val="Список таблицы 4 — акцент 6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solid" w:color="F7964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solid" w:color="FCE4D1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CE4D1" w:fill="auto"/>
      </w:tcPr>
    </w:tblStylePr>
  </w:style>
  <w:style w:type="table" w:customStyle="1" w:styleId="57">
    <w:name w:val="Список таблицы 5 темный"/>
    <w:basedOn w:val="a1"/>
    <w:rPr>
      <w:rFonts w:ascii="Liberation Sans" w:hAnsi="Liberation Sans"/>
      <w:color w:val="FFFFFF"/>
      <w:sz w:val="22"/>
    </w:rPr>
    <w:tblPr>
      <w:tblStyleRowBandSize w:val="1"/>
      <w:tblStyleColBandSize w:val="1"/>
      <w:tblBorders>
        <w:top w:val="single" w:sz="32" w:space="0" w:color="000000"/>
        <w:left w:val="single" w:sz="32" w:space="0" w:color="000000"/>
        <w:bottom w:val="single" w:sz="32" w:space="0" w:color="000000"/>
        <w:right w:val="single" w:sz="32" w:space="0" w:color="000000"/>
      </w:tblBorders>
    </w:tblPr>
    <w:tcPr>
      <w:shd w:val="solid" w:color="7F7F7F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solid" w:color="7F7F7F" w:fill="auto"/>
      </w:tcPr>
    </w:tblStylePr>
    <w:tblStylePr w:type="lastRow">
      <w:rPr>
        <w:rFonts w:ascii="Liberation Sans" w:hAnsi="Liberation Sans"/>
        <w:b/>
        <w:color w:val="FFFFFF"/>
        <w:sz w:val="22"/>
      </w:r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solid" w:color="7F7F7F" w:fill="auto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solid" w:color="7F7F7F" w:fill="auto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solid" w:color="7F7F7F" w:fill="auto"/>
      </w:tcPr>
    </w:tblStylePr>
  </w:style>
  <w:style w:type="table" w:customStyle="1" w:styleId="511">
    <w:name w:val="Список таблицы 5 темный — акцент 1"/>
    <w:basedOn w:val="a1"/>
    <w:rPr>
      <w:rFonts w:ascii="Liberation Sans" w:hAnsi="Liberation Sans"/>
      <w:color w:val="FFFFFF"/>
      <w:sz w:val="22"/>
    </w:rPr>
    <w:tblPr>
      <w:tblStyleRowBandSize w:val="1"/>
      <w:tblStyleColBandSize w:val="1"/>
      <w:tblBorders>
        <w:top w:val="single" w:sz="32" w:space="0" w:color="000000"/>
        <w:left w:val="single" w:sz="32" w:space="0" w:color="000000"/>
        <w:bottom w:val="single" w:sz="32" w:space="0" w:color="000000"/>
        <w:right w:val="single" w:sz="32" w:space="0" w:color="000000"/>
      </w:tblBorders>
    </w:tblPr>
    <w:tcPr>
      <w:shd w:val="solid" w:color="4F81BD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solid" w:color="4F81BD" w:fill="auto"/>
      </w:tcPr>
    </w:tblStylePr>
    <w:tblStylePr w:type="lastRow">
      <w:rPr>
        <w:rFonts w:ascii="Liberation Sans" w:hAnsi="Liberation Sans"/>
        <w:b/>
        <w:color w:val="FFFFFF"/>
        <w:sz w:val="22"/>
      </w:r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solid" w:color="4F81BD" w:fill="auto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solid" w:color="4F81BD" w:fill="auto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solid" w:color="4F81BD" w:fill="auto"/>
      </w:tcPr>
    </w:tblStylePr>
  </w:style>
  <w:style w:type="table" w:customStyle="1" w:styleId="521">
    <w:name w:val="Список таблицы 5 темный — акцент 2"/>
    <w:basedOn w:val="a1"/>
    <w:rPr>
      <w:rFonts w:ascii="Liberation Sans" w:hAnsi="Liberation Sans"/>
      <w:color w:val="FFFFFF"/>
      <w:sz w:val="22"/>
    </w:rPr>
    <w:tblPr>
      <w:tblStyleRowBandSize w:val="1"/>
      <w:tblStyleColBandSize w:val="1"/>
      <w:tblBorders>
        <w:top w:val="single" w:sz="32" w:space="0" w:color="000000"/>
        <w:left w:val="single" w:sz="32" w:space="0" w:color="000000"/>
        <w:bottom w:val="single" w:sz="32" w:space="0" w:color="000000"/>
        <w:right w:val="single" w:sz="32" w:space="0" w:color="000000"/>
      </w:tblBorders>
    </w:tblPr>
    <w:tcPr>
      <w:shd w:val="solid" w:color="D99694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solid" w:color="D99694" w:fill="auto"/>
      </w:tcPr>
    </w:tblStylePr>
    <w:tblStylePr w:type="lastRow">
      <w:rPr>
        <w:rFonts w:ascii="Liberation Sans" w:hAnsi="Liberation Sans"/>
        <w:b/>
        <w:color w:val="FFFFFF"/>
        <w:sz w:val="22"/>
      </w:r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solid" w:color="D99694" w:fill="auto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solid" w:color="D99694" w:fill="auto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solid" w:color="D99694" w:fill="auto"/>
      </w:tcPr>
    </w:tblStylePr>
  </w:style>
  <w:style w:type="table" w:customStyle="1" w:styleId="530">
    <w:name w:val="Список таблицы 5 темный — акцент 3"/>
    <w:basedOn w:val="a1"/>
    <w:rPr>
      <w:rFonts w:ascii="Liberation Sans" w:hAnsi="Liberation Sans"/>
      <w:color w:val="FFFFFF"/>
      <w:sz w:val="22"/>
    </w:rPr>
    <w:tblPr>
      <w:tblStyleRowBandSize w:val="1"/>
      <w:tblStyleColBandSize w:val="1"/>
      <w:tblBorders>
        <w:top w:val="single" w:sz="32" w:space="0" w:color="000000"/>
        <w:left w:val="single" w:sz="32" w:space="0" w:color="000000"/>
        <w:bottom w:val="single" w:sz="32" w:space="0" w:color="000000"/>
        <w:right w:val="single" w:sz="32" w:space="0" w:color="000000"/>
      </w:tblBorders>
    </w:tblPr>
    <w:tcPr>
      <w:shd w:val="solid" w:color="C3D69B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solid" w:color="C3D69B" w:fill="auto"/>
      </w:tcPr>
    </w:tblStylePr>
    <w:tblStylePr w:type="lastRow">
      <w:rPr>
        <w:rFonts w:ascii="Liberation Sans" w:hAnsi="Liberation Sans"/>
        <w:b/>
        <w:color w:val="FFFFFF"/>
        <w:sz w:val="22"/>
      </w:r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solid" w:color="C3D69B" w:fill="auto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solid" w:color="C3D69B" w:fill="auto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solid" w:color="C3D69B" w:fill="auto"/>
      </w:tcPr>
    </w:tblStylePr>
  </w:style>
  <w:style w:type="table" w:customStyle="1" w:styleId="540">
    <w:name w:val="Список таблицы 5 темный — акцент 4"/>
    <w:basedOn w:val="a1"/>
    <w:rPr>
      <w:rFonts w:ascii="Liberation Sans" w:hAnsi="Liberation Sans"/>
      <w:color w:val="FFFFFF"/>
      <w:sz w:val="22"/>
    </w:rPr>
    <w:tblPr>
      <w:tblStyleRowBandSize w:val="1"/>
      <w:tblStyleColBandSize w:val="1"/>
      <w:tblBorders>
        <w:top w:val="single" w:sz="32" w:space="0" w:color="000000"/>
        <w:left w:val="single" w:sz="32" w:space="0" w:color="000000"/>
        <w:bottom w:val="single" w:sz="32" w:space="0" w:color="000000"/>
        <w:right w:val="single" w:sz="32" w:space="0" w:color="000000"/>
      </w:tblBorders>
    </w:tblPr>
    <w:tcPr>
      <w:shd w:val="solid" w:color="B2A1C6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solid" w:color="B2A1C6" w:fill="auto"/>
      </w:tcPr>
    </w:tblStylePr>
    <w:tblStylePr w:type="lastRow">
      <w:rPr>
        <w:rFonts w:ascii="Liberation Sans" w:hAnsi="Liberation Sans"/>
        <w:b/>
        <w:color w:val="FFFFFF"/>
        <w:sz w:val="22"/>
      </w:r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solid" w:color="B2A1C6" w:fill="auto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solid" w:color="B2A1C6" w:fill="auto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solid" w:color="B2A1C6" w:fill="auto"/>
      </w:tcPr>
    </w:tblStylePr>
  </w:style>
  <w:style w:type="table" w:customStyle="1" w:styleId="550">
    <w:name w:val="Список таблицы 5 темный — акцент 5"/>
    <w:basedOn w:val="a1"/>
    <w:rPr>
      <w:rFonts w:ascii="Liberation Sans" w:hAnsi="Liberation Sans"/>
      <w:color w:val="FFFFFF"/>
      <w:sz w:val="22"/>
    </w:rPr>
    <w:tblPr>
      <w:tblStyleRowBandSize w:val="1"/>
      <w:tblStyleColBandSize w:val="1"/>
      <w:tblBorders>
        <w:top w:val="single" w:sz="32" w:space="0" w:color="000000"/>
        <w:left w:val="single" w:sz="32" w:space="0" w:color="000000"/>
        <w:bottom w:val="single" w:sz="32" w:space="0" w:color="000000"/>
        <w:right w:val="single" w:sz="32" w:space="0" w:color="000000"/>
      </w:tblBorders>
    </w:tblPr>
    <w:tcPr>
      <w:shd w:val="solid" w:color="91CDDC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solid" w:color="91CDDC" w:fill="auto"/>
      </w:tcPr>
    </w:tblStylePr>
    <w:tblStylePr w:type="lastRow">
      <w:rPr>
        <w:rFonts w:ascii="Liberation Sans" w:hAnsi="Liberation Sans"/>
        <w:b/>
        <w:color w:val="FFFFFF"/>
        <w:sz w:val="22"/>
      </w:r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solid" w:color="91CDDC" w:fill="auto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solid" w:color="91CDDC" w:fill="auto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solid" w:color="91CDDC" w:fill="auto"/>
      </w:tcPr>
    </w:tblStylePr>
  </w:style>
  <w:style w:type="table" w:customStyle="1" w:styleId="560">
    <w:name w:val="Список таблицы 5 темный — акцент 6"/>
    <w:basedOn w:val="a1"/>
    <w:rPr>
      <w:rFonts w:ascii="Liberation Sans" w:hAnsi="Liberation Sans"/>
      <w:color w:val="FFFFFF"/>
      <w:sz w:val="22"/>
    </w:rPr>
    <w:tblPr>
      <w:tblStyleRowBandSize w:val="1"/>
      <w:tblStyleColBandSize w:val="1"/>
      <w:tblBorders>
        <w:top w:val="single" w:sz="32" w:space="0" w:color="000000"/>
        <w:left w:val="single" w:sz="32" w:space="0" w:color="000000"/>
        <w:bottom w:val="single" w:sz="32" w:space="0" w:color="000000"/>
        <w:right w:val="single" w:sz="32" w:space="0" w:color="000000"/>
      </w:tblBorders>
    </w:tblPr>
    <w:tcPr>
      <w:shd w:val="solid" w:color="F9BF90" w:fill="auto"/>
    </w:tc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000000"/>
        </w:tcBorders>
        <w:shd w:val="solid" w:color="F9BF90" w:fill="auto"/>
      </w:tcPr>
    </w:tblStylePr>
    <w:tblStylePr w:type="lastRow">
      <w:rPr>
        <w:rFonts w:ascii="Liberation Sans" w:hAnsi="Liberation Sans"/>
        <w:b/>
        <w:color w:val="FFFFFF"/>
        <w:sz w:val="22"/>
      </w:r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000000"/>
        </w:tcBorders>
      </w:tcPr>
    </w:tblStylePr>
    <w:tblStylePr w:type="lastCol">
      <w:tblPr/>
      <w:tcPr>
        <w:tcBorders>
          <w:left w:val="single" w:sz="4" w:space="0" w:color="000000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  <w:shd w:val="solid" w:color="F9BF90" w:fill="auto"/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  <w:shd w:val="solid" w:color="F9BF90" w:fill="auto"/>
      </w:tcPr>
    </w:tblStylePr>
    <w:tblStylePr w:type="band2Horz">
      <w:tblPr/>
      <w:tcPr>
        <w:tcBorders>
          <w:top w:val="single" w:sz="4" w:space="0" w:color="000000"/>
          <w:bottom w:val="single" w:sz="4" w:space="0" w:color="000000"/>
        </w:tcBorders>
        <w:shd w:val="solid" w:color="F9BF90" w:fill="auto"/>
      </w:tcPr>
    </w:tblStylePr>
  </w:style>
  <w:style w:type="table" w:customStyle="1" w:styleId="67">
    <w:name w:val="Список таблицы 6 цветной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00000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solid" w:color="BFBFBF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BFBFBF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11">
    <w:name w:val="Список таблицы 6 цветной — акцент 1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2A4B71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2A4B71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2A4B71"/>
      </w:rPr>
    </w:tblStylePr>
    <w:tblStylePr w:type="lastCol">
      <w:rPr>
        <w:b/>
        <w:color w:val="2A4B71"/>
      </w:rPr>
    </w:tblStylePr>
    <w:tblStylePr w:type="band1Vert">
      <w:tblPr/>
      <w:tcPr>
        <w:shd w:val="solid" w:color="D3E0EE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3E0EE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20">
    <w:name w:val="Список таблицы 6 цветной — акцент 2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9C3A37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9C3A37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9C3A37"/>
      </w:rPr>
    </w:tblStylePr>
    <w:tblStylePr w:type="lastCol">
      <w:rPr>
        <w:b/>
        <w:color w:val="9C3A37"/>
      </w:rPr>
    </w:tblStylePr>
    <w:tblStylePr w:type="band1Vert">
      <w:tblPr/>
      <w:tcPr>
        <w:shd w:val="solid" w:color="EFD3D2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FD3D2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30">
    <w:name w:val="Список таблицы 6 цветной — акцент 3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7C983F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7C983F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7C983F"/>
      </w:rPr>
    </w:tblStylePr>
    <w:tblStylePr w:type="lastCol">
      <w:rPr>
        <w:b/>
        <w:color w:val="7C983F"/>
      </w:rPr>
    </w:tblStylePr>
    <w:tblStylePr w:type="band1Vert">
      <w:tblPr/>
      <w:tcPr>
        <w:shd w:val="solid" w:color="E6EED5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E6EED5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40">
    <w:name w:val="Список таблицы 6 цветной — акцент 4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664F82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664F82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664F82"/>
      </w:rPr>
    </w:tblStylePr>
    <w:tblStylePr w:type="lastCol">
      <w:rPr>
        <w:b/>
        <w:color w:val="664F82"/>
      </w:rPr>
    </w:tblStylePr>
    <w:tblStylePr w:type="band1Vert">
      <w:tblPr/>
      <w:tcPr>
        <w:shd w:val="solid" w:color="DFD8E7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FD8E7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50">
    <w:name w:val="Список таблицы 6 цветной — акцент 5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338AA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338AA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338AA0"/>
      </w:rPr>
    </w:tblStylePr>
    <w:tblStylePr w:type="lastCol">
      <w:rPr>
        <w:b/>
        <w:color w:val="338AA0"/>
      </w:rPr>
    </w:tblStylePr>
    <w:tblStylePr w:type="band1Vert">
      <w:tblPr/>
      <w:tcPr>
        <w:shd w:val="solid" w:color="D1EAF0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D1EAF0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660">
    <w:name w:val="Список таблицы 6 цветной — акцент 6"/>
    <w:basedOn w:val="a1"/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D9680C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D9680C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D9680C"/>
      </w:rPr>
    </w:tblStylePr>
    <w:tblStylePr w:type="lastCol">
      <w:rPr>
        <w:b/>
        <w:color w:val="D9680C"/>
      </w:rPr>
    </w:tblStylePr>
    <w:tblStylePr w:type="band1Vert">
      <w:tblPr/>
      <w:tcPr>
        <w:shd w:val="solid" w:color="FCE4D1" w:fill="auto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solid" w:color="FCE4D1" w:fill="auto"/>
      </w:tcPr>
    </w:tblStylePr>
    <w:tblStylePr w:type="band2Horz">
      <w:rPr>
        <w:rFonts w:ascii="Liberation Sans" w:hAnsi="Liberation Sans"/>
        <w:color w:val="404040"/>
        <w:sz w:val="22"/>
      </w:rPr>
    </w:tblStylePr>
  </w:style>
  <w:style w:type="table" w:customStyle="1" w:styleId="77">
    <w:name w:val="Список таблицы 7 цветной"/>
    <w:basedOn w:val="a1"/>
    <w:rPr>
      <w:rFonts w:ascii="Liberation Sans" w:hAnsi="Liberation Sans"/>
      <w:color w:val="4A4A4A"/>
      <w:sz w:val="22"/>
    </w:rPr>
    <w:tblPr>
      <w:tblStyleRowBandSize w:val="1"/>
      <w:tblStyleColBandSize w:val="1"/>
      <w:tblBorders>
        <w:right w:val="single" w:sz="4" w:space="0" w:color="000000"/>
      </w:tblBorders>
    </w:tblPr>
    <w:tblStylePr w:type="firstRow">
      <w:rPr>
        <w:rFonts w:ascii="Liberation Sans" w:hAnsi="Liberation Sans"/>
        <w:i/>
        <w:color w:val="4A4A4A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i/>
        <w:color w:val="4A4A4A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4A4A4A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4A4A4A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BFBFBF" w:fill="auto"/>
      </w:tcPr>
    </w:tblStylePr>
    <w:tblStylePr w:type="band1Horz">
      <w:rPr>
        <w:rFonts w:ascii="Liberation Sans" w:hAnsi="Liberation Sans"/>
        <w:color w:val="4A4A4A"/>
        <w:sz w:val="22"/>
      </w:rPr>
      <w:tblPr/>
      <w:tcPr>
        <w:shd w:val="solid" w:color="BFBFBF" w:fill="auto"/>
      </w:tcPr>
    </w:tblStylePr>
    <w:tblStylePr w:type="band2Horz">
      <w:rPr>
        <w:rFonts w:ascii="Liberation Sans" w:hAnsi="Liberation Sans"/>
        <w:color w:val="4A4A4A"/>
        <w:sz w:val="22"/>
      </w:rPr>
    </w:tblStylePr>
  </w:style>
  <w:style w:type="table" w:customStyle="1" w:styleId="711">
    <w:name w:val="Список таблицы 7 цветной — акцент 1"/>
    <w:basedOn w:val="a1"/>
    <w:rPr>
      <w:rFonts w:ascii="Liberation Sans" w:hAnsi="Liberation Sans"/>
      <w:color w:val="2A4B71"/>
      <w:sz w:val="22"/>
    </w:rPr>
    <w:tblPr>
      <w:tblStyleRowBandSize w:val="1"/>
      <w:tblStyleColBandSize w:val="1"/>
      <w:tblBorders>
        <w:right w:val="single" w:sz="4" w:space="0" w:color="000000"/>
      </w:tblBorders>
    </w:tblPr>
    <w:tblStylePr w:type="firstRow">
      <w:rPr>
        <w:rFonts w:ascii="Liberation Sans" w:hAnsi="Liberation Sans"/>
        <w:i/>
        <w:color w:val="2A4B71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i/>
        <w:color w:val="2A4B71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2A4B71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2A4B71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D3E0EE" w:fill="auto"/>
      </w:tcPr>
    </w:tblStylePr>
    <w:tblStylePr w:type="band1Horz">
      <w:rPr>
        <w:rFonts w:ascii="Liberation Sans" w:hAnsi="Liberation Sans"/>
        <w:color w:val="2A4B71"/>
        <w:sz w:val="22"/>
      </w:rPr>
      <w:tblPr/>
      <w:tcPr>
        <w:shd w:val="solid" w:color="D3E0EE" w:fill="auto"/>
      </w:tcPr>
    </w:tblStylePr>
    <w:tblStylePr w:type="band2Horz">
      <w:rPr>
        <w:rFonts w:ascii="Liberation Sans" w:hAnsi="Liberation Sans"/>
        <w:color w:val="2A4B71"/>
        <w:sz w:val="22"/>
      </w:rPr>
    </w:tblStylePr>
  </w:style>
  <w:style w:type="table" w:customStyle="1" w:styleId="720">
    <w:name w:val="Список таблицы 7 цветной — акцент 2"/>
    <w:basedOn w:val="a1"/>
    <w:rPr>
      <w:rFonts w:ascii="Liberation Sans" w:hAnsi="Liberation Sans"/>
      <w:color w:val="9C3A37"/>
      <w:sz w:val="22"/>
    </w:rPr>
    <w:tblPr>
      <w:tblStyleRowBandSize w:val="1"/>
      <w:tblStyleColBandSize w:val="1"/>
      <w:tblBorders>
        <w:right w:val="single" w:sz="4" w:space="0" w:color="000000"/>
      </w:tblBorders>
    </w:tblPr>
    <w:tblStylePr w:type="firstRow">
      <w:rPr>
        <w:rFonts w:ascii="Liberation Sans" w:hAnsi="Liberation Sans"/>
        <w:i/>
        <w:color w:val="9C3A37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i/>
        <w:color w:val="9C3A37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9C3A37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9C3A37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EFD3D2" w:fill="auto"/>
      </w:tcPr>
    </w:tblStylePr>
    <w:tblStylePr w:type="band1Horz">
      <w:rPr>
        <w:rFonts w:ascii="Liberation Sans" w:hAnsi="Liberation Sans"/>
        <w:color w:val="9C3A37"/>
        <w:sz w:val="22"/>
      </w:rPr>
      <w:tblPr/>
      <w:tcPr>
        <w:shd w:val="solid" w:color="EFD3D2" w:fill="auto"/>
      </w:tcPr>
    </w:tblStylePr>
    <w:tblStylePr w:type="band2Horz">
      <w:rPr>
        <w:rFonts w:ascii="Liberation Sans" w:hAnsi="Liberation Sans"/>
        <w:color w:val="9C3A37"/>
        <w:sz w:val="22"/>
      </w:rPr>
    </w:tblStylePr>
  </w:style>
  <w:style w:type="table" w:customStyle="1" w:styleId="730">
    <w:name w:val="Список таблицы 7 цветной — акцент 3"/>
    <w:basedOn w:val="a1"/>
    <w:rPr>
      <w:rFonts w:ascii="Liberation Sans" w:hAnsi="Liberation Sans"/>
      <w:color w:val="7C983F"/>
      <w:sz w:val="22"/>
    </w:rPr>
    <w:tblPr>
      <w:tblStyleRowBandSize w:val="1"/>
      <w:tblStyleColBandSize w:val="1"/>
      <w:tblBorders>
        <w:right w:val="single" w:sz="4" w:space="0" w:color="000000"/>
      </w:tblBorders>
    </w:tblPr>
    <w:tblStylePr w:type="firstRow">
      <w:rPr>
        <w:rFonts w:ascii="Liberation Sans" w:hAnsi="Liberation Sans"/>
        <w:i/>
        <w:color w:val="7C983F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i/>
        <w:color w:val="7C983F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7C983F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7C983F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E6EED5" w:fill="auto"/>
      </w:tcPr>
    </w:tblStylePr>
    <w:tblStylePr w:type="band1Horz">
      <w:rPr>
        <w:rFonts w:ascii="Liberation Sans" w:hAnsi="Liberation Sans"/>
        <w:color w:val="7C983F"/>
        <w:sz w:val="22"/>
      </w:rPr>
      <w:tblPr/>
      <w:tcPr>
        <w:shd w:val="solid" w:color="E6EED5" w:fill="auto"/>
      </w:tcPr>
    </w:tblStylePr>
    <w:tblStylePr w:type="band2Horz">
      <w:rPr>
        <w:rFonts w:ascii="Liberation Sans" w:hAnsi="Liberation Sans"/>
        <w:color w:val="7C983F"/>
        <w:sz w:val="22"/>
      </w:rPr>
    </w:tblStylePr>
  </w:style>
  <w:style w:type="table" w:customStyle="1" w:styleId="740">
    <w:name w:val="Список таблицы 7 цветной — акцент 4"/>
    <w:basedOn w:val="a1"/>
    <w:rPr>
      <w:rFonts w:ascii="Liberation Sans" w:hAnsi="Liberation Sans"/>
      <w:color w:val="664F82"/>
      <w:sz w:val="22"/>
    </w:rPr>
    <w:tblPr>
      <w:tblStyleRowBandSize w:val="1"/>
      <w:tblStyleColBandSize w:val="1"/>
      <w:tblBorders>
        <w:right w:val="single" w:sz="4" w:space="0" w:color="000000"/>
      </w:tblBorders>
    </w:tblPr>
    <w:tblStylePr w:type="firstRow">
      <w:rPr>
        <w:rFonts w:ascii="Liberation Sans" w:hAnsi="Liberation Sans"/>
        <w:i/>
        <w:color w:val="664F82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i/>
        <w:color w:val="664F82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664F82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664F82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DFD8E7" w:fill="auto"/>
      </w:tcPr>
    </w:tblStylePr>
    <w:tblStylePr w:type="band1Horz">
      <w:rPr>
        <w:rFonts w:ascii="Liberation Sans" w:hAnsi="Liberation Sans"/>
        <w:color w:val="664F82"/>
        <w:sz w:val="22"/>
      </w:rPr>
      <w:tblPr/>
      <w:tcPr>
        <w:shd w:val="solid" w:color="DFD8E7" w:fill="auto"/>
      </w:tcPr>
    </w:tblStylePr>
    <w:tblStylePr w:type="band2Horz">
      <w:rPr>
        <w:rFonts w:ascii="Liberation Sans" w:hAnsi="Liberation Sans"/>
        <w:color w:val="664F82"/>
        <w:sz w:val="22"/>
      </w:rPr>
    </w:tblStylePr>
  </w:style>
  <w:style w:type="table" w:customStyle="1" w:styleId="750">
    <w:name w:val="Список таблицы 7 цветной — акцент 5"/>
    <w:basedOn w:val="a1"/>
    <w:rPr>
      <w:rFonts w:ascii="Liberation Sans" w:hAnsi="Liberation Sans"/>
      <w:color w:val="338AA0"/>
      <w:sz w:val="22"/>
    </w:rPr>
    <w:tblPr>
      <w:tblStyleRowBandSize w:val="1"/>
      <w:tblStyleColBandSize w:val="1"/>
      <w:tblBorders>
        <w:right w:val="single" w:sz="4" w:space="0" w:color="000000"/>
      </w:tblBorders>
    </w:tblPr>
    <w:tblStylePr w:type="firstRow">
      <w:rPr>
        <w:rFonts w:ascii="Liberation Sans" w:hAnsi="Liberation Sans"/>
        <w:i/>
        <w:color w:val="338AA0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i/>
        <w:color w:val="338AA0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338AA0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338AA0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D1EAF0" w:fill="auto"/>
      </w:tcPr>
    </w:tblStylePr>
    <w:tblStylePr w:type="band1Horz">
      <w:rPr>
        <w:rFonts w:ascii="Liberation Sans" w:hAnsi="Liberation Sans"/>
        <w:color w:val="338AA0"/>
        <w:sz w:val="22"/>
      </w:rPr>
      <w:tblPr/>
      <w:tcPr>
        <w:shd w:val="solid" w:color="D1EAF0" w:fill="auto"/>
      </w:tcPr>
    </w:tblStylePr>
    <w:tblStylePr w:type="band2Horz">
      <w:rPr>
        <w:rFonts w:ascii="Liberation Sans" w:hAnsi="Liberation Sans"/>
        <w:color w:val="338AA0"/>
        <w:sz w:val="22"/>
      </w:rPr>
    </w:tblStylePr>
  </w:style>
  <w:style w:type="table" w:customStyle="1" w:styleId="760">
    <w:name w:val="Список таблицы 7 цветной — акцент 6"/>
    <w:basedOn w:val="a1"/>
    <w:rPr>
      <w:rFonts w:ascii="Liberation Sans" w:hAnsi="Liberation Sans"/>
      <w:color w:val="D9680C"/>
      <w:sz w:val="22"/>
    </w:rPr>
    <w:tblPr>
      <w:tblStyleRowBandSize w:val="1"/>
      <w:tblStyleColBandSize w:val="1"/>
      <w:tblBorders>
        <w:right w:val="single" w:sz="4" w:space="0" w:color="000000"/>
      </w:tblBorders>
    </w:tblPr>
    <w:tblStylePr w:type="firstRow">
      <w:rPr>
        <w:rFonts w:ascii="Liberation Sans" w:hAnsi="Liberation Sans"/>
        <w:i/>
        <w:color w:val="D9680C"/>
        <w:sz w:val="22"/>
      </w:rPr>
      <w:tblPr/>
      <w:tcPr>
        <w:tcBorders>
          <w:bottom w:val="single" w:sz="4" w:space="0" w:color="000000"/>
        </w:tcBorders>
        <w:shd w:val="solid" w:color="FFFFFF" w:fill="auto"/>
      </w:tcPr>
    </w:tblStylePr>
    <w:tblStylePr w:type="lastRow">
      <w:rPr>
        <w:rFonts w:ascii="Liberation Sans" w:hAnsi="Liberation Sans"/>
        <w:i/>
        <w:color w:val="D9680C"/>
        <w:sz w:val="22"/>
      </w:rPr>
      <w:tblPr/>
      <w:tcPr>
        <w:tcBorders>
          <w:top w:val="single" w:sz="4" w:space="0" w:color="000000"/>
        </w:tcBorders>
        <w:shd w:val="solid" w:color="FFFFFF" w:fill="auto"/>
      </w:tcPr>
    </w:tblStylePr>
    <w:tblStylePr w:type="firstCol">
      <w:pPr>
        <w:jc w:val="right"/>
      </w:pPr>
      <w:rPr>
        <w:rFonts w:ascii="Liberation Sans" w:hAnsi="Liberation Sans"/>
        <w:i/>
        <w:color w:val="D9680C"/>
        <w:sz w:val="22"/>
      </w:rPr>
      <w:tblPr/>
      <w:tcPr>
        <w:tcBorders>
          <w:right w:val="single" w:sz="4" w:space="0" w:color="000000"/>
        </w:tcBorders>
        <w:shd w:val="clear" w:color="auto" w:fill="auto"/>
      </w:tcPr>
    </w:tblStylePr>
    <w:tblStylePr w:type="lastCol">
      <w:rPr>
        <w:rFonts w:ascii="Liberation Sans" w:hAnsi="Liberation Sans"/>
        <w:i/>
        <w:color w:val="D9680C"/>
        <w:sz w:val="22"/>
      </w:rPr>
      <w:tblPr/>
      <w:tcPr>
        <w:tcBorders>
          <w:left w:val="single" w:sz="4" w:space="0" w:color="000000"/>
        </w:tcBorders>
        <w:shd w:val="clear" w:color="auto" w:fill="auto"/>
      </w:tcPr>
    </w:tblStylePr>
    <w:tblStylePr w:type="band1Vert">
      <w:tblPr/>
      <w:tcPr>
        <w:shd w:val="solid" w:color="FCE4D1" w:fill="auto"/>
      </w:tcPr>
    </w:tblStylePr>
    <w:tblStylePr w:type="band1Horz">
      <w:rPr>
        <w:rFonts w:ascii="Liberation Sans" w:hAnsi="Liberation Sans"/>
        <w:color w:val="D9680C"/>
        <w:sz w:val="22"/>
      </w:rPr>
      <w:tblPr/>
      <w:tcPr>
        <w:shd w:val="solid" w:color="FCE4D1" w:fill="auto"/>
      </w:tcPr>
    </w:tblStylePr>
    <w:tblStylePr w:type="band2Horz">
      <w:rPr>
        <w:rFonts w:ascii="Liberation Sans" w:hAnsi="Liberation Sans"/>
        <w:color w:val="D9680C"/>
        <w:sz w:val="22"/>
      </w:rPr>
    </w:tblStylePr>
  </w:style>
  <w:style w:type="table" w:customStyle="1" w:styleId="Lined-Accent">
    <w:name w:val="Lined - Accent"/>
    <w:basedOn w:val="a1"/>
    <w:tblPr>
      <w:tblStyleRowBandSize w:val="1"/>
      <w:tblStyleColBandSize w:val="1"/>
    </w:tblPr>
    <w:tblStylePr w:type="firstRow">
      <w:rPr>
        <w:sz w:val="22"/>
      </w:rPr>
      <w:tblPr/>
      <w:tcPr>
        <w:shd w:val="solid" w:color="7F7F7F" w:fill="auto"/>
      </w:tcPr>
    </w:tblStylePr>
    <w:tblStylePr w:type="lastRow">
      <w:rPr>
        <w:sz w:val="22"/>
      </w:rPr>
      <w:tblPr/>
      <w:tcPr>
        <w:shd w:val="solid" w:color="7F7F7F" w:fill="auto"/>
      </w:tcPr>
    </w:tblStylePr>
    <w:tblStylePr w:type="firstCol">
      <w:rPr>
        <w:sz w:val="22"/>
      </w:rPr>
      <w:tblPr/>
      <w:tcPr>
        <w:shd w:val="solid" w:color="7F7F7F" w:fill="auto"/>
      </w:tcPr>
    </w:tblStylePr>
    <w:tblStylePr w:type="lastCol">
      <w:rPr>
        <w:sz w:val="22"/>
      </w:rPr>
      <w:tblPr/>
      <w:tcPr>
        <w:shd w:val="solid" w:color="7F7F7F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F2F2F2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F2F2F2" w:fill="auto"/>
      </w:tcPr>
    </w:tblStylePr>
  </w:style>
  <w:style w:type="table" w:customStyle="1" w:styleId="Lined-Accent1">
    <w:name w:val="Lined - Accent 1"/>
    <w:basedOn w:val="a1"/>
    <w:tblPr>
      <w:tblStyleRowBandSize w:val="1"/>
      <w:tblStyleColBandSize w:val="1"/>
    </w:tblPr>
    <w:tblStylePr w:type="firstRow">
      <w:rPr>
        <w:sz w:val="22"/>
      </w:rPr>
      <w:tblPr/>
      <w:tcPr>
        <w:shd w:val="solid" w:color="5D8DC2" w:fill="auto"/>
      </w:tcPr>
    </w:tblStylePr>
    <w:tblStylePr w:type="lastRow">
      <w:rPr>
        <w:sz w:val="22"/>
      </w:rPr>
      <w:tblPr/>
      <w:tcPr>
        <w:shd w:val="solid" w:color="5D8DC2" w:fill="auto"/>
      </w:tcPr>
    </w:tblStylePr>
    <w:tblStylePr w:type="firstCol">
      <w:rPr>
        <w:sz w:val="22"/>
      </w:rPr>
      <w:tblPr/>
      <w:tcPr>
        <w:shd w:val="solid" w:color="5D8DC2" w:fill="auto"/>
      </w:tcPr>
    </w:tblStylePr>
    <w:tblStylePr w:type="lastCol">
      <w:rPr>
        <w:sz w:val="22"/>
      </w:rPr>
      <w:tblPr/>
      <w:tcPr>
        <w:shd w:val="solid" w:color="5D8DC2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C7D7EA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C7D7EA" w:fill="auto"/>
      </w:tcPr>
    </w:tblStylePr>
  </w:style>
  <w:style w:type="table" w:customStyle="1" w:styleId="Lined-Accent2">
    <w:name w:val="Lined - Accent 2"/>
    <w:basedOn w:val="a1"/>
    <w:tblPr>
      <w:tblStyleRowBandSize w:val="1"/>
      <w:tblStyleColBandSize w:val="1"/>
    </w:tblPr>
    <w:tblStylePr w:type="firstRow">
      <w:rPr>
        <w:sz w:val="22"/>
      </w:rPr>
      <w:tblPr/>
      <w:tcPr>
        <w:shd w:val="solid" w:color="D99694" w:fill="auto"/>
      </w:tcPr>
    </w:tblStylePr>
    <w:tblStylePr w:type="lastRow">
      <w:rPr>
        <w:sz w:val="22"/>
      </w:rPr>
      <w:tblPr/>
      <w:tcPr>
        <w:shd w:val="solid" w:color="D99694" w:fill="auto"/>
      </w:tcPr>
    </w:tblStylePr>
    <w:tblStylePr w:type="firstCol">
      <w:rPr>
        <w:sz w:val="22"/>
      </w:rPr>
      <w:tblPr/>
      <w:tcPr>
        <w:shd w:val="solid" w:color="D99694" w:fill="auto"/>
      </w:tcPr>
    </w:tblStylePr>
    <w:tblStylePr w:type="lastCol">
      <w:rPr>
        <w:sz w:val="22"/>
      </w:rPr>
      <w:tblPr/>
      <w:tcPr>
        <w:shd w:val="solid" w:color="D99694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F2DCDB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F2DCDB" w:fill="auto"/>
      </w:tcPr>
    </w:tblStylePr>
  </w:style>
  <w:style w:type="table" w:customStyle="1" w:styleId="Lined-Accent3">
    <w:name w:val="Lined - Accent 3"/>
    <w:basedOn w:val="a1"/>
    <w:tblPr>
      <w:tblStyleRowBandSize w:val="1"/>
      <w:tblStyleColBandSize w:val="1"/>
    </w:tblPr>
    <w:tblStylePr w:type="firstRow">
      <w:rPr>
        <w:sz w:val="22"/>
      </w:rPr>
      <w:tblPr/>
      <w:tcPr>
        <w:shd w:val="solid" w:color="9BBA59" w:fill="auto"/>
      </w:tcPr>
    </w:tblStylePr>
    <w:tblStylePr w:type="lastRow">
      <w:rPr>
        <w:sz w:val="22"/>
      </w:rPr>
      <w:tblPr/>
      <w:tcPr>
        <w:shd w:val="solid" w:color="9BBA59" w:fill="auto"/>
      </w:tcPr>
    </w:tblStylePr>
    <w:tblStylePr w:type="firstCol">
      <w:rPr>
        <w:sz w:val="22"/>
      </w:rPr>
      <w:tblPr/>
      <w:tcPr>
        <w:shd w:val="solid" w:color="9BBA59" w:fill="auto"/>
      </w:tcPr>
    </w:tblStylePr>
    <w:tblStylePr w:type="lastCol">
      <w:rPr>
        <w:sz w:val="22"/>
      </w:rPr>
      <w:tblPr/>
      <w:tcPr>
        <w:shd w:val="solid" w:color="9BBA59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EAF0DD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EAF0DD" w:fill="auto"/>
      </w:tcPr>
    </w:tblStylePr>
  </w:style>
  <w:style w:type="table" w:customStyle="1" w:styleId="Lined-Accent4">
    <w:name w:val="Lined - Accent 4"/>
    <w:basedOn w:val="a1"/>
    <w:tblPr>
      <w:tblStyleRowBandSize w:val="1"/>
      <w:tblStyleColBandSize w:val="1"/>
    </w:tblPr>
    <w:tblStylePr w:type="firstRow">
      <w:rPr>
        <w:sz w:val="22"/>
      </w:rPr>
      <w:tblPr/>
      <w:tcPr>
        <w:shd w:val="solid" w:color="B2A1C6" w:fill="auto"/>
      </w:tcPr>
    </w:tblStylePr>
    <w:tblStylePr w:type="lastRow">
      <w:rPr>
        <w:sz w:val="22"/>
      </w:rPr>
      <w:tblPr/>
      <w:tcPr>
        <w:shd w:val="solid" w:color="B2A1C6" w:fill="auto"/>
      </w:tcPr>
    </w:tblStylePr>
    <w:tblStylePr w:type="firstCol">
      <w:rPr>
        <w:sz w:val="22"/>
      </w:rPr>
      <w:tblPr/>
      <w:tcPr>
        <w:shd w:val="solid" w:color="B2A1C6" w:fill="auto"/>
      </w:tcPr>
    </w:tblStylePr>
    <w:tblStylePr w:type="lastCol">
      <w:rPr>
        <w:sz w:val="22"/>
      </w:rPr>
      <w:tblPr/>
      <w:tcPr>
        <w:shd w:val="solid" w:color="B2A1C6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E5DFEC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E5DFEC" w:fill="auto"/>
      </w:tcPr>
    </w:tblStylePr>
  </w:style>
  <w:style w:type="table" w:customStyle="1" w:styleId="Lined-Accent5">
    <w:name w:val="Lined - Accent 5"/>
    <w:basedOn w:val="a1"/>
    <w:tblPr>
      <w:tblStyleRowBandSize w:val="1"/>
      <w:tblStyleColBandSize w:val="1"/>
    </w:tblPr>
    <w:tblStylePr w:type="firstRow">
      <w:rPr>
        <w:sz w:val="22"/>
      </w:rPr>
      <w:tblPr/>
      <w:tcPr>
        <w:shd w:val="solid" w:color="4BACC6" w:fill="auto"/>
      </w:tcPr>
    </w:tblStylePr>
    <w:tblStylePr w:type="lastRow">
      <w:rPr>
        <w:sz w:val="22"/>
      </w:rPr>
      <w:tblPr/>
      <w:tcPr>
        <w:shd w:val="solid" w:color="4BACC6" w:fill="auto"/>
      </w:tcPr>
    </w:tblStylePr>
    <w:tblStylePr w:type="firstCol">
      <w:rPr>
        <w:sz w:val="22"/>
      </w:rPr>
      <w:tblPr/>
      <w:tcPr>
        <w:shd w:val="solid" w:color="4BACC6" w:fill="auto"/>
      </w:tcPr>
    </w:tblStylePr>
    <w:tblStylePr w:type="lastCol">
      <w:rPr>
        <w:sz w:val="22"/>
      </w:rPr>
      <w:tblPr/>
      <w:tcPr>
        <w:shd w:val="solid" w:color="4BACC6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DAEEF3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DAEEF3" w:fill="auto"/>
      </w:tcPr>
    </w:tblStylePr>
  </w:style>
  <w:style w:type="table" w:customStyle="1" w:styleId="Lined-Accent6">
    <w:name w:val="Lined - Accent 6"/>
    <w:basedOn w:val="a1"/>
    <w:tblPr>
      <w:tblStyleRowBandSize w:val="1"/>
      <w:tblStyleColBandSize w:val="1"/>
    </w:tblPr>
    <w:tblStylePr w:type="firstRow">
      <w:rPr>
        <w:sz w:val="22"/>
      </w:rPr>
      <w:tblPr/>
      <w:tcPr>
        <w:shd w:val="solid" w:color="F79646" w:fill="auto"/>
      </w:tcPr>
    </w:tblStylePr>
    <w:tblStylePr w:type="lastRow">
      <w:rPr>
        <w:sz w:val="22"/>
      </w:rPr>
      <w:tblPr/>
      <w:tcPr>
        <w:shd w:val="solid" w:color="F79646" w:fill="auto"/>
      </w:tcPr>
    </w:tblStylePr>
    <w:tblStylePr w:type="firstCol">
      <w:rPr>
        <w:sz w:val="22"/>
      </w:rPr>
      <w:tblPr/>
      <w:tcPr>
        <w:shd w:val="solid" w:color="F79646" w:fill="auto"/>
      </w:tcPr>
    </w:tblStylePr>
    <w:tblStylePr w:type="lastCol">
      <w:rPr>
        <w:sz w:val="22"/>
      </w:rPr>
      <w:tblPr/>
      <w:tcPr>
        <w:shd w:val="solid" w:color="F79646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FDE9D8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FDE9D8" w:fill="auto"/>
      </w:tcPr>
    </w:tblStylePr>
  </w:style>
  <w:style w:type="table" w:customStyle="1" w:styleId="BorderedLined-Accent">
    <w:name w:val="Bordered &amp; Lined - Accent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shd w:val="solid" w:color="7F7F7F" w:fill="auto"/>
      </w:tcPr>
    </w:tblStylePr>
    <w:tblStylePr w:type="lastRow">
      <w:rPr>
        <w:sz w:val="22"/>
      </w:rPr>
      <w:tblPr/>
      <w:tcPr>
        <w:shd w:val="solid" w:color="7F7F7F" w:fill="auto"/>
      </w:tcPr>
    </w:tblStylePr>
    <w:tblStylePr w:type="firstCol">
      <w:rPr>
        <w:sz w:val="22"/>
      </w:rPr>
      <w:tblPr/>
      <w:tcPr>
        <w:shd w:val="solid" w:color="7F7F7F" w:fill="auto"/>
      </w:tcPr>
    </w:tblStylePr>
    <w:tblStylePr w:type="lastCol">
      <w:rPr>
        <w:sz w:val="22"/>
      </w:rPr>
      <w:tblPr/>
      <w:tcPr>
        <w:shd w:val="solid" w:color="7F7F7F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F2F2F2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F2F2F2" w:fill="auto"/>
      </w:tcPr>
    </w:tblStylePr>
  </w:style>
  <w:style w:type="table" w:customStyle="1" w:styleId="BorderedLined-Accent1">
    <w:name w:val="Bordered &amp; Lined - Accent 1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shd w:val="solid" w:color="5D8DC2" w:fill="auto"/>
      </w:tcPr>
    </w:tblStylePr>
    <w:tblStylePr w:type="lastRow">
      <w:rPr>
        <w:sz w:val="22"/>
      </w:rPr>
      <w:tblPr/>
      <w:tcPr>
        <w:shd w:val="solid" w:color="5D8DC2" w:fill="auto"/>
      </w:tcPr>
    </w:tblStylePr>
    <w:tblStylePr w:type="firstCol">
      <w:rPr>
        <w:sz w:val="22"/>
      </w:rPr>
      <w:tblPr/>
      <w:tcPr>
        <w:shd w:val="solid" w:color="5D8DC2" w:fill="auto"/>
      </w:tcPr>
    </w:tblStylePr>
    <w:tblStylePr w:type="lastCol">
      <w:rPr>
        <w:sz w:val="22"/>
      </w:rPr>
      <w:tblPr/>
      <w:tcPr>
        <w:shd w:val="solid" w:color="5D8DC2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C7D7EA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C7D7EA" w:fill="auto"/>
      </w:tcPr>
    </w:tblStylePr>
  </w:style>
  <w:style w:type="table" w:customStyle="1" w:styleId="BorderedLined-Accent2">
    <w:name w:val="Bordered &amp; Lined - Accent 2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shd w:val="solid" w:color="D99694" w:fill="auto"/>
      </w:tcPr>
    </w:tblStylePr>
    <w:tblStylePr w:type="lastRow">
      <w:rPr>
        <w:sz w:val="22"/>
      </w:rPr>
      <w:tblPr/>
      <w:tcPr>
        <w:shd w:val="solid" w:color="D99694" w:fill="auto"/>
      </w:tcPr>
    </w:tblStylePr>
    <w:tblStylePr w:type="firstCol">
      <w:rPr>
        <w:sz w:val="22"/>
      </w:rPr>
      <w:tblPr/>
      <w:tcPr>
        <w:shd w:val="solid" w:color="D99694" w:fill="auto"/>
      </w:tcPr>
    </w:tblStylePr>
    <w:tblStylePr w:type="lastCol">
      <w:rPr>
        <w:sz w:val="22"/>
      </w:rPr>
      <w:tblPr/>
      <w:tcPr>
        <w:shd w:val="solid" w:color="D99694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F2DCDB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F2DCDB" w:fill="auto"/>
      </w:tcPr>
    </w:tblStylePr>
  </w:style>
  <w:style w:type="table" w:customStyle="1" w:styleId="BorderedLined-Accent3">
    <w:name w:val="Bordered &amp; Lined - Accent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shd w:val="solid" w:color="9BBA59" w:fill="auto"/>
      </w:tcPr>
    </w:tblStylePr>
    <w:tblStylePr w:type="lastRow">
      <w:rPr>
        <w:sz w:val="22"/>
      </w:rPr>
      <w:tblPr/>
      <w:tcPr>
        <w:shd w:val="solid" w:color="9BBA59" w:fill="auto"/>
      </w:tcPr>
    </w:tblStylePr>
    <w:tblStylePr w:type="firstCol">
      <w:rPr>
        <w:sz w:val="22"/>
      </w:rPr>
      <w:tblPr/>
      <w:tcPr>
        <w:shd w:val="solid" w:color="9BBA59" w:fill="auto"/>
      </w:tcPr>
    </w:tblStylePr>
    <w:tblStylePr w:type="lastCol">
      <w:rPr>
        <w:sz w:val="22"/>
      </w:rPr>
      <w:tblPr/>
      <w:tcPr>
        <w:shd w:val="solid" w:color="9BBA59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EAF0DD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EAF0DD" w:fill="auto"/>
      </w:tcPr>
    </w:tblStylePr>
  </w:style>
  <w:style w:type="table" w:customStyle="1" w:styleId="BorderedLined-Accent4">
    <w:name w:val="Bordered &amp; Lined - Accent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shd w:val="solid" w:color="B2A1C6" w:fill="auto"/>
      </w:tcPr>
    </w:tblStylePr>
    <w:tblStylePr w:type="lastRow">
      <w:rPr>
        <w:sz w:val="22"/>
      </w:rPr>
      <w:tblPr/>
      <w:tcPr>
        <w:shd w:val="solid" w:color="B2A1C6" w:fill="auto"/>
      </w:tcPr>
    </w:tblStylePr>
    <w:tblStylePr w:type="firstCol">
      <w:rPr>
        <w:sz w:val="22"/>
      </w:rPr>
      <w:tblPr/>
      <w:tcPr>
        <w:shd w:val="solid" w:color="B2A1C6" w:fill="auto"/>
      </w:tcPr>
    </w:tblStylePr>
    <w:tblStylePr w:type="lastCol">
      <w:rPr>
        <w:sz w:val="22"/>
      </w:rPr>
      <w:tblPr/>
      <w:tcPr>
        <w:shd w:val="solid" w:color="B2A1C6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E5DFEC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E5DFEC" w:fill="auto"/>
      </w:tcPr>
    </w:tblStylePr>
  </w:style>
  <w:style w:type="table" w:customStyle="1" w:styleId="BorderedLined-Accent5">
    <w:name w:val="Bordered &amp; Lined - Accent 5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shd w:val="solid" w:color="4BACC6" w:fill="auto"/>
      </w:tcPr>
    </w:tblStylePr>
    <w:tblStylePr w:type="lastRow">
      <w:rPr>
        <w:sz w:val="22"/>
      </w:rPr>
      <w:tblPr/>
      <w:tcPr>
        <w:shd w:val="solid" w:color="4BACC6" w:fill="auto"/>
      </w:tcPr>
    </w:tblStylePr>
    <w:tblStylePr w:type="firstCol">
      <w:rPr>
        <w:sz w:val="22"/>
      </w:rPr>
      <w:tblPr/>
      <w:tcPr>
        <w:shd w:val="solid" w:color="4BACC6" w:fill="auto"/>
      </w:tcPr>
    </w:tblStylePr>
    <w:tblStylePr w:type="lastCol">
      <w:rPr>
        <w:sz w:val="22"/>
      </w:rPr>
      <w:tblPr/>
      <w:tcPr>
        <w:shd w:val="solid" w:color="4BACC6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DAEEF3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DAEEF3" w:fill="auto"/>
      </w:tcPr>
    </w:tblStylePr>
  </w:style>
  <w:style w:type="table" w:customStyle="1" w:styleId="BorderedLined-Accent6">
    <w:name w:val="Bordered &amp; Lined - Accent 6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shd w:val="solid" w:color="F79646" w:fill="auto"/>
      </w:tcPr>
    </w:tblStylePr>
    <w:tblStylePr w:type="lastRow">
      <w:rPr>
        <w:sz w:val="22"/>
      </w:rPr>
      <w:tblPr/>
      <w:tcPr>
        <w:shd w:val="solid" w:color="F79646" w:fill="auto"/>
      </w:tcPr>
    </w:tblStylePr>
    <w:tblStylePr w:type="firstCol">
      <w:rPr>
        <w:sz w:val="22"/>
      </w:rPr>
      <w:tblPr/>
      <w:tcPr>
        <w:shd w:val="solid" w:color="F79646" w:fill="auto"/>
      </w:tcPr>
    </w:tblStylePr>
    <w:tblStylePr w:type="lastCol">
      <w:rPr>
        <w:sz w:val="22"/>
      </w:rPr>
      <w:tblPr/>
      <w:tcPr>
        <w:shd w:val="solid" w:color="F79646" w:fill="auto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solid" w:color="FDE9D8" w:fill="auto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solid" w:color="FDE9D8" w:fill="auto"/>
      </w:tcPr>
    </w:tblStylePr>
  </w:style>
  <w:style w:type="table" w:customStyle="1" w:styleId="Bordered">
    <w:name w:val="Bordered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1">
    <w:name w:val="Bordered - Accent 1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2">
    <w:name w:val="Bordered - Accent 2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3">
    <w:name w:val="Bordered - Accent 3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4">
    <w:name w:val="Bordered - Accent 4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5">
    <w:name w:val="Bordered - Accent 5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6">
    <w:name w:val="Bordered - Accent 6"/>
    <w:basedOn w:val="a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kodeks://link/d?nd=120013640133027-2014&#1044;&#1086;&#1088;&#1086;&#1075;&#1080;&#1072;&#1074;&#1090;&#1086;&#1084;&#1086;&#1073;&#1080;&#1083;&#1100;&#1085;&#1099;&#1077;&#1086;&#1073;&#1097;&#1077;&#1075;&#1086;&#1087;&#1086;&#1083;&#1100;&#1079;&#1086;&#1074;&#1072;&#1085;&#1080;&#1103;.&#1058;&#1088;&#1077;&#1073;&#1086;&#1074;&#1072;&#1085;&#1080;&#1103;&#1082;...(&#1091;&#1090;&#1074;.%20&#1087;&#1088;&#1080;&#1082;&#1072;&#1079;&#1086;&#1084;%20&#1056;&#1086;&#1089;&#1089;&#1090;&#1072;&#1085;&#1076;&#1072;&#1088;&#1090;&#1072;%20&#1086;&#1090;%2023.06.2016%20N%20671-&#1089;&#1090;)%20&#1055;&#1088;&#1080;&#1084;&#1077;&#1085;&#1103;&#1077;&#1090;&#1089;&#1103;%20&#1089;%20...%20&#1057;&#1090;&#1072;&#1090;&#1091;&#1089;:%20&#1044;&#1077;&#1081;&#1089;&#1090;&#1074;&#1091;&#1102;&#1097;&#1080;&#1081;%20&#1076;&#1086;&#1082;&#1091;&#1084;&#1077;&#1085;&#1090;.%20&#1055;&#1088;&#1080;&#1084;&#1077;&#1085;&#1103;&#1077;&#1090;&#1089;&#1103;%20&#1076;&#1083;&#1103;%20&#1094;&#1077;&#1083;&#1077;&#1081;%20&#1090;&#1077;&#1093;&#1085;&#1080;&#1095;&#1077;&#1089;&#1082;&#1086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1200173463&#1056;58861-2020&#1044;&#1086;&#1088;&#1086;&#1075;&#1080;&#1072;&#1074;&#1090;&#1086;&#1084;&#1086;&#1073;&#1080;&#1083;&#1100;&#1085;&#1099;&#1077;&#1086;&#1073;&#1097;&#1077;&#1075;&#1086;&#1087;&#1086;&#1083;&#1100;&#1079;&#1086;&#1074;&#1072;&#1085;&#1080;&#1103;.&#1050;&#1072;&#1087;&#1080;&#1090;&#1072;&#1083;&#1100;&#1085;&#1099;&#1081;&#1088;&#1077;&#1084;&#1086;&#1085;&#1090;&#1080;&#1088;&#1077;&#1084;&#1086;&#1085;&#1090;...(&#1091;&#1090;&#1074;.%20&#1087;&#1088;&#1080;&#1082;&#1072;&#1079;&#1086;&#1084;%20&#1056;&#1086;&#1089;&#1089;&#1090;&#1072;&#1085;&#1076;&#1072;&#1088;&#1090;&#1072;%20&#1086;&#1090;%2026.05.2020%20N%20228-&#1089;&#1090;)%20&#1055;&#1088;&#1080;&#1084;&#1077;&#1085;&#1103;&#1077;&#1090;&#1089;&#1103;%20&#1089;%2001.08.2020%20&#1057;&#1090;&#1072;&#1090;&#1091;&#1089;:%20&#1044;&#1077;&#1081;&#1089;&#1090;&#1074;&#1091;&#1102;&#1097;&#1080;&#1081;%20&#1076;&#1086;&#1082;&#1091;&#1084;&#1077;&#1085;&#1090;%20(&#1076;&#1077;&#1081;&#1089;&#1090;&#1074;.%20c%2001." TargetMode="External"/><Relationship Id="rId5" Type="http://schemas.openxmlformats.org/officeDocument/2006/relationships/hyperlink" Target="kodeks://link/d?nd=902397028&#1091;&#1090;&#1074;&#1077;&#1088;&#1078;&#1076;&#1077;&#1085;&#1080;&#1080;&#1050;&#1083;&#1072;&#1089;&#1089;&#1080;&#1092;&#1080;&#1082;&#1072;&#1094;&#1080;&#1080;&#1088;&#1072;&#1073;&#1086;&#1090;&#1087;&#1086;&#1082;&#1072;&#1087;&#1080;&#1090;&#1072;&#1083;&#1100;&#1085;&#1086;&#1084;&#1091;&#1088;&#1077;&#1084;&#1086;&#1085;&#1090;&#1091;,&#1088;&#1077;&#1084;&#1086;&#1085;&#1090;&#1091;&#1080;&#1089;&#1086;&#1076;&#1077;&#1088;&#1078;&#1072;&#1085;&#1080;&#1102;&#1072;&#1074;&#1090;&#1086;&#1084;&#1086;&#1073;&#1080;&#1083;&#1100;&#1085;&#1099;&#1093;&#1076;&#1086;&#1088;&#1086;&#1075;(&#1089;&#1080;&#1079;&#1084;&#1077;&#1085;&#1077;&#1085;&#1080;&#1103;&#1084;&#1080;&#1085;&#1072;20&#1084;&#1072;&#1088;&#1090;&#1072;2023&#1075;&#1086;&#1076;&#1072;)&#1055;&#1088;&#1080;&#1082;&#1072;&#1079;%20&#1052;&#1080;&#1085;&#1090;&#1088;&#1072;&#1085;&#1089;&#1072;%20&#1056;&#1086;&#1089;&#1089;&#1080;&#1080;%20&#1086;&#1090;%2016.11.2012%20N%20402%20&#1057;&#1090;&#1072;&#1090;&#1091;&#1089;:%20&#1044;&#1077;&#1081;&#1089;&#1090;&#1074;&#1091;&#1102;&#1097;&#1072;&#1103;%20&#1088;&#1077;&#1076;&#1072;&#1082;&#1094;&#1080;&#1103;%20&#1076;&#1086;&#1082;&#1091;&#1084;&#1077;&#1085;&#1090;&#1072;%20(&#1076;&#1077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roid Sans"/>
      </a:majorFont>
      <a:minorFont>
        <a:latin typeface="Times New Roman"/>
        <a:ea typeface="DejaVu Sans"/>
        <a:cs typeface="Droid San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4123</Words>
  <Characters>23502</Characters>
  <Application>Microsoft Office Word</Application>
  <DocSecurity>4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Кисляков</dc:creator>
  <cp:keywords/>
  <dc:description/>
  <cp:lastModifiedBy>Нешатаева Татьяна Владимировна</cp:lastModifiedBy>
  <cp:revision>2</cp:revision>
  <dcterms:created xsi:type="dcterms:W3CDTF">2026-06-29T05:48:00Z</dcterms:created>
  <dcterms:modified xsi:type="dcterms:W3CDTF">2026-06-29T05:48:00Z</dcterms:modified>
</cp:coreProperties>
</file>